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SYSTEM ARCHITECTURE SECURITY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System Architecture Security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System Architecture Security Standards</w:t>
      </w:r>
    </w:p>
    <w:p>
      <w:pPr>
        <w:spacing w:before="240" w:after="80"/>
      </w:pPr>
      <w:r>
        <w:rPr>
          <w:b/>
          <w:sz w:val="24"/>
        </w:rPr>
        <w:t>3.1  Purpose</w:t>
      </w:r>
    </w:p>
    <w:p>
      <w:pPr>
        <w:spacing w:before="40" w:after="120" w:line="280" w:lineRule="exact"/>
      </w:pPr>
      <w:r>
        <w:rPr>
          <w:sz w:val="22"/>
        </w:rPr>
        <w:t>This standard sets out the security principles and requirements for enterprise system architecture and engineering decisions. It supports consistent design choices that align with the organisation's risk appetite and ISMS.</w:t>
      </w:r>
    </w:p>
    <w:p>
      <w:pPr>
        <w:spacing w:before="240" w:after="80"/>
      </w:pPr>
      <w:r>
        <w:rPr>
          <w:b/>
          <w:sz w:val="24"/>
        </w:rPr>
        <w:t>3.2  Scope</w:t>
      </w:r>
    </w:p>
    <w:p>
      <w:pPr>
        <w:spacing w:before="40" w:after="120" w:line="280" w:lineRule="exact"/>
      </w:pPr>
      <w:r>
        <w:rPr>
          <w:sz w:val="22"/>
        </w:rPr>
        <w:t>This standard applies to all enterprise system architecture activities, including new system design, integration design, and architecture review of significant changes.</w:t>
      </w:r>
    </w:p>
    <w:p>
      <w:pPr>
        <w:spacing w:before="240" w:after="80"/>
      </w:pPr>
      <w:r>
        <w:rPr>
          <w:b/>
          <w:sz w:val="24"/>
        </w:rPr>
        <w:t>3.3  Definitions</w:t>
      </w:r>
    </w:p>
    <w:p>
      <w:pPr>
        <w:spacing w:before="60" w:after="60"/>
      </w:pPr>
      <w:r>
        <w:rPr>
          <w:b/>
          <w:sz w:val="22"/>
        </w:rPr>
        <w:t xml:space="preserve">Architecture Principles: </w:t>
      </w:r>
      <w:r>
        <w:rPr>
          <w:sz w:val="22"/>
        </w:rPr>
        <w:t>Foundational rules that guide architecture and engineering decisions</w:t>
      </w:r>
    </w:p>
    <w:p>
      <w:pPr>
        <w:spacing w:before="60" w:after="60"/>
      </w:pPr>
      <w:r>
        <w:rPr>
          <w:b/>
          <w:sz w:val="22"/>
        </w:rPr>
        <w:t xml:space="preserve">Reference Architecture: </w:t>
      </w:r>
      <w:r>
        <w:rPr>
          <w:sz w:val="22"/>
        </w:rPr>
        <w:t>A documented design pattern that meets common requirements and serves as a basis for project-level designs</w:t>
      </w:r>
    </w:p>
    <w:p>
      <w:pPr>
        <w:spacing w:before="60" w:after="60"/>
      </w:pPr>
      <w:r>
        <w:rPr>
          <w:b/>
          <w:sz w:val="22"/>
        </w:rPr>
        <w:t xml:space="preserve">Architecture Review Board (ARB): </w:t>
      </w:r>
      <w:r>
        <w:rPr>
          <w:sz w:val="22"/>
        </w:rPr>
        <w:t>A governance forum that reviews architecture decisions and exceptions</w:t>
      </w:r>
    </w:p>
    <w:p>
      <w:pPr>
        <w:spacing w:before="240" w:after="80"/>
      </w:pPr>
      <w:r>
        <w:rPr>
          <w:b/>
          <w:sz w:val="24"/>
        </w:rPr>
        <w:t>3.4  Policy Requirements</w:t>
      </w:r>
    </w:p>
    <w:p>
      <w:pPr>
        <w:spacing w:before="240" w:after="80"/>
      </w:pPr>
      <w:r>
        <w:rPr>
          <w:b/>
          <w:sz w:val="22"/>
        </w:rPr>
        <w:t>Architecture Principles</w:t>
      </w:r>
    </w:p>
    <w:p>
      <w:pPr>
        <w:pStyle w:val="ListBullet"/>
        <w:ind w:left="360"/>
      </w:pPr>
      <w:r>
        <w:rPr>
          <w:sz w:val="22"/>
        </w:rPr>
        <w:t>Defence in depth: multiple layers of controls protect critical assets</w:t>
      </w:r>
    </w:p>
    <w:p>
      <w:pPr>
        <w:pStyle w:val="ListBullet"/>
        <w:ind w:left="360"/>
      </w:pPr>
      <w:r>
        <w:rPr>
          <w:sz w:val="22"/>
        </w:rPr>
        <w:t>Least privilege: access and capabilities are limited to what is necessary</w:t>
      </w:r>
    </w:p>
    <w:p>
      <w:pPr>
        <w:pStyle w:val="ListBullet"/>
        <w:ind w:left="360"/>
      </w:pPr>
      <w:r>
        <w:rPr>
          <w:sz w:val="22"/>
        </w:rPr>
        <w:t>Secure defaults: systems are secure on installation and require deliberate steps to weaken</w:t>
      </w:r>
    </w:p>
    <w:p>
      <w:pPr>
        <w:pStyle w:val="ListBullet"/>
        <w:ind w:left="360"/>
      </w:pPr>
      <w:r>
        <w:rPr>
          <w:sz w:val="22"/>
        </w:rPr>
        <w:t>Fail securely: failures must not place the system in an insecure state</w:t>
      </w:r>
    </w:p>
    <w:p>
      <w:pPr>
        <w:pStyle w:val="ListBullet"/>
        <w:ind w:left="360"/>
      </w:pPr>
      <w:r>
        <w:rPr>
          <w:sz w:val="22"/>
        </w:rPr>
        <w:t>Separation of duties: critical actions require multiple parties</w:t>
      </w:r>
    </w:p>
    <w:p>
      <w:pPr>
        <w:pStyle w:val="ListBullet"/>
        <w:ind w:left="360"/>
      </w:pPr>
      <w:r>
        <w:rPr>
          <w:sz w:val="22"/>
        </w:rPr>
        <w:t>Avoid security through obscurity: rely on robust controls rather than secrecy of design</w:t>
      </w:r>
    </w:p>
    <w:p>
      <w:pPr>
        <w:pStyle w:val="ListBullet"/>
        <w:ind w:left="360"/>
      </w:pPr>
      <w:r>
        <w:rPr>
          <w:sz w:val="22"/>
        </w:rPr>
        <w:t>Simplicity: prefer simpler architectures that are easier to assess and operate</w:t>
      </w:r>
    </w:p>
    <w:p>
      <w:pPr>
        <w:spacing w:before="240" w:after="80"/>
      </w:pPr>
      <w:r>
        <w:rPr>
          <w:b/>
          <w:sz w:val="22"/>
        </w:rPr>
        <w:t>Reference Architectures</w:t>
      </w:r>
    </w:p>
    <w:p>
      <w:pPr>
        <w:pStyle w:val="ListBullet"/>
        <w:ind w:left="360"/>
      </w:pPr>
      <w:r>
        <w:rPr>
          <w:sz w:val="22"/>
        </w:rPr>
        <w:t>Maintain documented reference architectures for common patterns including web applications, microservices, data pipelines, and cloud landing zones</w:t>
      </w:r>
    </w:p>
    <w:p>
      <w:pPr>
        <w:pStyle w:val="ListBullet"/>
        <w:ind w:left="360"/>
      </w:pPr>
      <w:r>
        <w:rPr>
          <w:sz w:val="22"/>
        </w:rPr>
        <w:t>Reference architectures must include security control requirements and approved technology choices</w:t>
      </w:r>
    </w:p>
    <w:p>
      <w:pPr>
        <w:pStyle w:val="ListBullet"/>
        <w:ind w:left="360"/>
      </w:pPr>
      <w:r>
        <w:rPr>
          <w:sz w:val="22"/>
        </w:rPr>
        <w:t>Project architectures must use reference architectures as the starting point or justify deviations</w:t>
      </w:r>
    </w:p>
    <w:p>
      <w:pPr>
        <w:spacing w:before="240" w:after="80"/>
      </w:pPr>
      <w:r>
        <w:rPr>
          <w:b/>
          <w:sz w:val="22"/>
        </w:rPr>
        <w:t>Architecture Review</w:t>
      </w:r>
    </w:p>
    <w:p>
      <w:pPr>
        <w:pStyle w:val="ListBullet"/>
        <w:ind w:left="360"/>
      </w:pPr>
      <w:r>
        <w:rPr>
          <w:sz w:val="22"/>
        </w:rPr>
        <w:t>Significant new systems and changes must undergo architecture review</w:t>
      </w:r>
    </w:p>
    <w:p>
      <w:pPr>
        <w:pStyle w:val="ListBullet"/>
        <w:ind w:left="360"/>
      </w:pPr>
      <w:r>
        <w:rPr>
          <w:sz w:val="22"/>
        </w:rPr>
        <w:t>Reviews must consider security, resilience, scalability, and integration</w:t>
      </w:r>
    </w:p>
    <w:p>
      <w:pPr>
        <w:pStyle w:val="ListBullet"/>
        <w:ind w:left="360"/>
      </w:pPr>
      <w:r>
        <w:rPr>
          <w:sz w:val="22"/>
        </w:rPr>
        <w:t>Decisions and trade-offs must be documented in architecture decision records</w:t>
      </w:r>
    </w:p>
    <w:p>
      <w:pPr>
        <w:spacing w:before="240" w:after="80"/>
      </w:pPr>
      <w:r>
        <w:rPr>
          <w:b/>
          <w:sz w:val="22"/>
        </w:rPr>
        <w:t>Trust Boundaries and Data Flows</w:t>
      </w:r>
    </w:p>
    <w:p>
      <w:pPr>
        <w:pStyle w:val="ListBullet"/>
        <w:ind w:left="360"/>
      </w:pPr>
      <w:r>
        <w:rPr>
          <w:sz w:val="22"/>
        </w:rPr>
        <w:t>Architectures must identify trust boundaries and the data flows across them</w:t>
      </w:r>
    </w:p>
    <w:p>
      <w:pPr>
        <w:pStyle w:val="ListBullet"/>
        <w:ind w:left="360"/>
      </w:pPr>
      <w:r>
        <w:rPr>
          <w:sz w:val="22"/>
        </w:rPr>
        <w:t>Controls at trust boundaries must be specified and reviewed</w:t>
      </w:r>
    </w:p>
    <w:p>
      <w:pPr>
        <w:spacing w:before="240" w:after="80"/>
      </w:pPr>
      <w:r>
        <w:rPr>
          <w:b/>
          <w:sz w:val="22"/>
        </w:rPr>
        <w:t>Resilience</w:t>
      </w:r>
    </w:p>
    <w:p>
      <w:pPr>
        <w:pStyle w:val="ListBullet"/>
        <w:ind w:left="360"/>
      </w:pPr>
      <w:r>
        <w:rPr>
          <w:sz w:val="22"/>
        </w:rPr>
        <w:t>Architecture must consider availability requirements and incorporate appropriate redundancy</w:t>
      </w:r>
    </w:p>
    <w:p>
      <w:pPr>
        <w:pStyle w:val="ListBullet"/>
        <w:ind w:left="360"/>
      </w:pPr>
      <w:r>
        <w:rPr>
          <w:sz w:val="22"/>
        </w:rPr>
        <w:t>Single points of failure must be identified and addressed for critical services</w:t>
      </w:r>
    </w:p>
    <w:p>
      <w:pPr>
        <w:spacing w:before="240" w:after="80"/>
      </w:pPr>
      <w:r>
        <w:rPr>
          <w:b/>
          <w:sz w:val="22"/>
        </w:rPr>
        <w:t>Lifecycle and End-of-Life</w:t>
      </w:r>
    </w:p>
    <w:p>
      <w:pPr>
        <w:pStyle w:val="ListBullet"/>
        <w:ind w:left="360"/>
      </w:pPr>
      <w:r>
        <w:rPr>
          <w:sz w:val="22"/>
        </w:rPr>
        <w:t>Architecture must consider system lifecycle including support, upgrade paths, and end-of-life</w:t>
      </w:r>
    </w:p>
    <w:p>
      <w:pPr>
        <w:pStyle w:val="ListBullet"/>
        <w:ind w:left="360"/>
      </w:pPr>
      <w:r>
        <w:rPr>
          <w:sz w:val="22"/>
        </w:rPr>
        <w:t>End-of-life systems must be planned for replacement or accepted as risk</w:t>
      </w:r>
    </w:p>
    <w:p>
      <w:pPr>
        <w:spacing w:before="240" w:after="80"/>
      </w:pPr>
      <w:r>
        <w:rPr>
          <w:b/>
          <w:sz w:val="24"/>
        </w:rPr>
        <w:t>3.5  Roles and Responsibilities</w:t>
      </w:r>
    </w:p>
    <w:p>
      <w:pPr>
        <w:spacing w:before="80"/>
      </w:pPr>
      <w:r>
        <w:rPr>
          <w:b/>
          <w:sz w:val="22"/>
        </w:rPr>
        <w:t xml:space="preserve">Enterprise Architecture: </w:t>
      </w:r>
      <w:r>
        <w:rPr>
          <w:sz w:val="22"/>
        </w:rPr>
        <w:t>Owns reference architectures and architecture principles</w:t>
      </w:r>
    </w:p>
    <w:p>
      <w:pPr>
        <w:spacing w:before="80"/>
      </w:pPr>
      <w:r>
        <w:rPr>
          <w:b/>
          <w:sz w:val="22"/>
        </w:rPr>
        <w:t xml:space="preserve">Solution Architects: </w:t>
      </w:r>
      <w:r>
        <w:rPr>
          <w:sz w:val="22"/>
        </w:rPr>
        <w:t>Design systems in line with this standard</w:t>
      </w:r>
    </w:p>
    <w:p>
      <w:pPr>
        <w:spacing w:before="80"/>
      </w:pPr>
      <w:r>
        <w:rPr>
          <w:b/>
          <w:sz w:val="22"/>
        </w:rPr>
        <w:t xml:space="preserve">Information Security Manager: </w:t>
      </w:r>
      <w:r>
        <w:rPr>
          <w:sz w:val="22"/>
        </w:rPr>
        <w:t>Provides input and reviews architectures for security</w:t>
      </w:r>
    </w:p>
    <w:p>
      <w:pPr>
        <w:spacing w:before="240" w:after="80"/>
      </w:pPr>
      <w:r>
        <w:rPr>
          <w:b/>
          <w:sz w:val="24"/>
        </w:rPr>
        <w:t>3.6  Related Documents</w:t>
      </w:r>
    </w:p>
    <w:p>
      <w:pPr>
        <w:pStyle w:val="ListBullet"/>
        <w:ind w:left="360"/>
      </w:pPr>
      <w:r>
        <w:rPr>
          <w:sz w:val="22"/>
        </w:rPr>
        <w:t>Secure Development Standards</w:t>
      </w:r>
    </w:p>
    <w:p>
      <w:pPr>
        <w:pStyle w:val="ListBullet"/>
        <w:ind w:left="360"/>
      </w:pPr>
      <w:r>
        <w:rPr>
          <w:sz w:val="22"/>
        </w:rPr>
        <w:t>Information System Protection Policy</w:t>
      </w:r>
    </w:p>
    <w:p>
      <w:pPr>
        <w:pStyle w:val="ListBullet"/>
        <w:ind w:left="360"/>
      </w:pPr>
      <w:r>
        <w:rPr>
          <w:sz w:val="22"/>
        </w:rPr>
        <w:t>Network Architecture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8.27 - Secure system architecture and engineering principles</w:t>
      </w:r>
    </w:p>
    <w:p>
      <w:pPr>
        <w:pStyle w:val="ListBullet"/>
        <w:ind w:left="360"/>
      </w:pPr>
      <w:r>
        <w:rPr>
          <w:sz w:val="22"/>
        </w:rPr>
        <w:t>8.25 - Secure development life cycle</w:t>
      </w:r>
    </w:p>
    <w:p>
      <w:pPr>
        <w:pStyle w:val="ListBullet"/>
        <w:ind w:left="360"/>
      </w:pPr>
      <w:r>
        <w:rPr>
          <w:sz w:val="22"/>
        </w:rPr>
        <w:t>8.20 - Networks security</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