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SECURITY SERVICES DELIVERY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Security Services Delivery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Security Services Delivery Standards</w:t>
      </w:r>
    </w:p>
    <w:p>
      <w:pPr>
        <w:spacing w:before="240" w:after="80"/>
      </w:pPr>
      <w:r>
        <w:rPr>
          <w:b/>
          <w:sz w:val="24"/>
        </w:rPr>
        <w:t>3.1  Purpose</w:t>
      </w:r>
    </w:p>
    <w:p>
      <w:pPr>
        <w:spacing w:before="40" w:after="120" w:line="280" w:lineRule="exact"/>
      </w:pPr>
      <w:r>
        <w:rPr>
          <w:sz w:val="22"/>
        </w:rPr>
        <w:t>This standard defines the quality and performance standards for the delivery of information system security services to the organisation, whether delivered internally or by external service providers.</w:t>
      </w:r>
    </w:p>
    <w:p>
      <w:pPr>
        <w:spacing w:before="240" w:after="80"/>
      </w:pPr>
      <w:r>
        <w:rPr>
          <w:b/>
          <w:sz w:val="24"/>
        </w:rPr>
        <w:t>3.2  Scope</w:t>
      </w:r>
    </w:p>
    <w:p>
      <w:pPr>
        <w:spacing w:before="40" w:after="120" w:line="280" w:lineRule="exact"/>
      </w:pPr>
      <w:r>
        <w:rPr>
          <w:sz w:val="22"/>
        </w:rPr>
        <w:t>This standard applies to all information system security services, including security operations, vulnerability management, identity services, application security, and security engineering.</w:t>
      </w:r>
    </w:p>
    <w:p>
      <w:pPr>
        <w:spacing w:before="240" w:after="80"/>
      </w:pPr>
      <w:r>
        <w:rPr>
          <w:b/>
          <w:sz w:val="24"/>
        </w:rPr>
        <w:t>3.3  Definitions</w:t>
      </w:r>
    </w:p>
    <w:p>
      <w:pPr>
        <w:spacing w:before="60" w:after="60"/>
      </w:pPr>
      <w:r>
        <w:rPr>
          <w:b/>
          <w:sz w:val="22"/>
        </w:rPr>
        <w:t xml:space="preserve">Service Catalogue: </w:t>
      </w:r>
      <w:r>
        <w:rPr>
          <w:sz w:val="22"/>
        </w:rPr>
        <w:t>A documented list of services with description, owner, and service levels</w:t>
      </w:r>
    </w:p>
    <w:p>
      <w:pPr>
        <w:spacing w:before="60" w:after="60"/>
      </w:pPr>
      <w:r>
        <w:rPr>
          <w:b/>
          <w:sz w:val="22"/>
        </w:rPr>
        <w:t xml:space="preserve">Service Level Agreement (SLA): </w:t>
      </w:r>
      <w:r>
        <w:rPr>
          <w:sz w:val="22"/>
        </w:rPr>
        <w:t>A documented commitment to deliver a service within agreed performance targets</w:t>
      </w:r>
    </w:p>
    <w:p>
      <w:pPr>
        <w:spacing w:before="60" w:after="60"/>
      </w:pPr>
      <w:r>
        <w:rPr>
          <w:b/>
          <w:sz w:val="22"/>
        </w:rPr>
        <w:t xml:space="preserve">Service Owner: </w:t>
      </w:r>
      <w:r>
        <w:rPr>
          <w:sz w:val="22"/>
        </w:rPr>
        <w:t>The accountable individual for a defined service</w:t>
      </w:r>
    </w:p>
    <w:p>
      <w:pPr>
        <w:spacing w:before="240" w:after="80"/>
      </w:pPr>
      <w:r>
        <w:rPr>
          <w:b/>
          <w:sz w:val="24"/>
        </w:rPr>
        <w:t>3.4  Policy Requirements</w:t>
      </w:r>
    </w:p>
    <w:p>
      <w:pPr>
        <w:spacing w:before="240" w:after="80"/>
      </w:pPr>
      <w:r>
        <w:rPr>
          <w:b/>
          <w:sz w:val="22"/>
        </w:rPr>
        <w:t>Service Definition</w:t>
      </w:r>
    </w:p>
    <w:p>
      <w:pPr>
        <w:pStyle w:val="ListBullet"/>
        <w:ind w:left="360"/>
      </w:pPr>
      <w:r>
        <w:rPr>
          <w:sz w:val="22"/>
        </w:rPr>
        <w:t>Each security service must be documented in the Security Service Catalogue with description, scope, owner, and consumers</w:t>
      </w:r>
    </w:p>
    <w:p>
      <w:pPr>
        <w:pStyle w:val="ListBullet"/>
        <w:ind w:left="360"/>
      </w:pPr>
      <w:r>
        <w:rPr>
          <w:sz w:val="22"/>
        </w:rPr>
        <w:t>Service definitions must be reviewed annually and after material change</w:t>
      </w:r>
    </w:p>
    <w:p>
      <w:pPr>
        <w:spacing w:before="240" w:after="80"/>
      </w:pPr>
      <w:r>
        <w:rPr>
          <w:b/>
          <w:sz w:val="22"/>
        </w:rPr>
        <w:t>Service Levels</w:t>
      </w:r>
    </w:p>
    <w:p>
      <w:pPr>
        <w:pStyle w:val="ListBullet"/>
        <w:ind w:left="360"/>
      </w:pPr>
      <w:r>
        <w:rPr>
          <w:sz w:val="22"/>
        </w:rPr>
        <w:t>Each service must have defined service levels for response, restoration, and quality</w:t>
      </w:r>
    </w:p>
    <w:p>
      <w:pPr>
        <w:pStyle w:val="ListBullet"/>
        <w:ind w:left="360"/>
      </w:pPr>
      <w:r>
        <w:rPr>
          <w:sz w:val="22"/>
        </w:rPr>
        <w:t>SLAs must be agreed with consumers and reflected in supporting contracts where applicable</w:t>
      </w:r>
    </w:p>
    <w:p>
      <w:pPr>
        <w:pStyle w:val="ListBullet"/>
        <w:ind w:left="360"/>
      </w:pPr>
      <w:r>
        <w:rPr>
          <w:sz w:val="22"/>
        </w:rPr>
        <w:t>Performance against SLAs must be reported monthly</w:t>
      </w:r>
    </w:p>
    <w:p>
      <w:pPr>
        <w:spacing w:before="240" w:after="80"/>
      </w:pPr>
      <w:r>
        <w:rPr>
          <w:b/>
          <w:sz w:val="22"/>
        </w:rPr>
        <w:t>Resourcing and Skills</w:t>
      </w:r>
    </w:p>
    <w:p>
      <w:pPr>
        <w:pStyle w:val="ListBullet"/>
        <w:ind w:left="360"/>
      </w:pPr>
      <w:r>
        <w:rPr>
          <w:sz w:val="22"/>
        </w:rPr>
        <w:t>Each service must have a designated owner and capable resources</w:t>
      </w:r>
    </w:p>
    <w:p>
      <w:pPr>
        <w:pStyle w:val="ListBullet"/>
        <w:ind w:left="360"/>
      </w:pPr>
      <w:r>
        <w:rPr>
          <w:sz w:val="22"/>
        </w:rPr>
        <w:t>Skills required for the service must be documented and resourced through training or recruitment</w:t>
      </w:r>
    </w:p>
    <w:p>
      <w:pPr>
        <w:spacing w:before="240" w:after="80"/>
      </w:pPr>
      <w:r>
        <w:rPr>
          <w:b/>
          <w:sz w:val="22"/>
        </w:rPr>
        <w:t>Continuity</w:t>
      </w:r>
    </w:p>
    <w:p>
      <w:pPr>
        <w:pStyle w:val="ListBullet"/>
        <w:ind w:left="360"/>
      </w:pPr>
      <w:r>
        <w:rPr>
          <w:sz w:val="22"/>
        </w:rPr>
        <w:t>Each service must have a defined continuity plan proportionate to its criticality</w:t>
      </w:r>
    </w:p>
    <w:p>
      <w:pPr>
        <w:pStyle w:val="ListBullet"/>
        <w:ind w:left="360"/>
      </w:pPr>
      <w:r>
        <w:rPr>
          <w:sz w:val="22"/>
        </w:rPr>
        <w:t>Backup operators or providers must be identified for critical services</w:t>
      </w:r>
    </w:p>
    <w:p>
      <w:pPr>
        <w:spacing w:before="240" w:after="80"/>
      </w:pPr>
      <w:r>
        <w:rPr>
          <w:b/>
          <w:sz w:val="22"/>
        </w:rPr>
        <w:t>Continuous Improvement</w:t>
      </w:r>
    </w:p>
    <w:p>
      <w:pPr>
        <w:pStyle w:val="ListBullet"/>
        <w:ind w:left="360"/>
      </w:pPr>
      <w:r>
        <w:rPr>
          <w:sz w:val="22"/>
        </w:rPr>
        <w:t>Service performance and consumer feedback must be reviewed periodically</w:t>
      </w:r>
    </w:p>
    <w:p>
      <w:pPr>
        <w:pStyle w:val="ListBullet"/>
        <w:ind w:left="360"/>
      </w:pPr>
      <w:r>
        <w:rPr>
          <w:sz w:val="22"/>
        </w:rPr>
        <w:t>Improvement actions must be planned, executed, and reported</w:t>
      </w:r>
    </w:p>
    <w:p>
      <w:pPr>
        <w:spacing w:before="240" w:after="80"/>
      </w:pPr>
      <w:r>
        <w:rPr>
          <w:b/>
          <w:sz w:val="24"/>
        </w:rPr>
        <w:t>3.5  Roles and Responsibilities</w:t>
      </w:r>
    </w:p>
    <w:p>
      <w:pPr>
        <w:spacing w:before="80"/>
      </w:pPr>
      <w:r>
        <w:rPr>
          <w:b/>
          <w:sz w:val="22"/>
        </w:rPr>
        <w:t xml:space="preserve">Service Owner: </w:t>
      </w:r>
      <w:r>
        <w:rPr>
          <w:sz w:val="22"/>
        </w:rPr>
        <w:t>Accountable for service delivery and performance</w:t>
      </w:r>
    </w:p>
    <w:p>
      <w:pPr>
        <w:spacing w:before="80"/>
      </w:pPr>
      <w:r>
        <w:rPr>
          <w:b/>
          <w:sz w:val="22"/>
        </w:rPr>
        <w:t xml:space="preserve">Service Consumers: </w:t>
      </w:r>
      <w:r>
        <w:rPr>
          <w:sz w:val="22"/>
        </w:rPr>
        <w:t>Provide requirements and feedback</w:t>
      </w:r>
    </w:p>
    <w:p>
      <w:pPr>
        <w:spacing w:before="80"/>
      </w:pPr>
      <w:r>
        <w:rPr>
          <w:b/>
          <w:sz w:val="22"/>
        </w:rPr>
        <w:t xml:space="preserve">Information Security Manager: </w:t>
      </w:r>
      <w:r>
        <w:rPr>
          <w:sz w:val="22"/>
        </w:rPr>
        <w:t>Owns the Security Service Catalogue and SLA framework</w:t>
      </w:r>
    </w:p>
    <w:p>
      <w:pPr>
        <w:spacing w:before="240" w:after="80"/>
      </w:pPr>
      <w:r>
        <w:rPr>
          <w:b/>
          <w:sz w:val="24"/>
        </w:rPr>
        <w:t>3.6  Related Documents</w:t>
      </w:r>
    </w:p>
    <w:p>
      <w:pPr>
        <w:pStyle w:val="ListBullet"/>
        <w:ind w:left="360"/>
      </w:pPr>
      <w:r>
        <w:rPr>
          <w:sz w:val="22"/>
        </w:rPr>
        <w:t>Information Security Policy</w:t>
      </w:r>
    </w:p>
    <w:p>
      <w:pPr>
        <w:pStyle w:val="ListBullet"/>
        <w:ind w:left="360"/>
      </w:pPr>
      <w:r>
        <w:rPr>
          <w:sz w:val="22"/>
        </w:rPr>
        <w:t>Information Security Strategy</w:t>
      </w:r>
    </w:p>
    <w:p>
      <w:pPr>
        <w:pStyle w:val="ListBullet"/>
        <w:ind w:left="360"/>
      </w:pPr>
      <w:r>
        <w:rPr>
          <w:sz w:val="22"/>
        </w:rPr>
        <w:t>Vendor Risk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8.7 - Protection against malware</w:t>
      </w:r>
    </w:p>
    <w:p>
      <w:pPr>
        <w:pStyle w:val="ListBullet"/>
        <w:ind w:left="360"/>
      </w:pPr>
      <w:r>
        <w:rPr>
          <w:sz w:val="22"/>
        </w:rPr>
        <w:t>5.31 - Legal, statutory, regulatory and contractual requirements</w:t>
      </w:r>
    </w:p>
    <w:p>
      <w:pPr>
        <w:pStyle w:val="ListBullet"/>
        <w:ind w:left="360"/>
      </w:pPr>
      <w:r>
        <w:rPr>
          <w:sz w:val="22"/>
        </w:rPr>
        <w:t>5.30 - ICT readiness for business continuity</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