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ENDPOINT SECURITY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Endpoint Security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Endpoint Security Standards</w:t>
      </w:r>
    </w:p>
    <w:p>
      <w:pPr>
        <w:spacing w:before="240" w:after="80"/>
      </w:pPr>
      <w:r>
        <w:rPr>
          <w:b/>
          <w:sz w:val="24"/>
        </w:rPr>
        <w:t>3.1  Purpose</w:t>
      </w:r>
    </w:p>
    <w:p>
      <w:pPr>
        <w:spacing w:before="40" w:after="120" w:line="280" w:lineRule="exact"/>
      </w:pPr>
      <w:r>
        <w:rPr>
          <w:sz w:val="22"/>
        </w:rPr>
        <w:t>This standard defines the baseline security configuration requirements for all endpoint devices in the organisation. Consistent endpoint hardening reduces the attack surface and enables effective detection and response.</w:t>
      </w:r>
    </w:p>
    <w:p>
      <w:pPr>
        <w:spacing w:before="240" w:after="80"/>
      </w:pPr>
      <w:r>
        <w:rPr>
          <w:b/>
          <w:sz w:val="24"/>
        </w:rPr>
        <w:t>3.2  Scope</w:t>
      </w:r>
    </w:p>
    <w:p>
      <w:pPr>
        <w:spacing w:before="40" w:after="120" w:line="280" w:lineRule="exact"/>
      </w:pPr>
      <w:r>
        <w:rPr>
          <w:sz w:val="22"/>
        </w:rPr>
        <w:t>This standard applies to all endpoint devices managed by the organisation including laptops, desktops, mobile devices, tablets, and similar form factors.</w:t>
      </w:r>
    </w:p>
    <w:p>
      <w:pPr>
        <w:spacing w:before="240" w:after="80"/>
      </w:pPr>
      <w:r>
        <w:rPr>
          <w:b/>
          <w:sz w:val="24"/>
        </w:rPr>
        <w:t>3.3  Definitions</w:t>
      </w:r>
    </w:p>
    <w:p>
      <w:pPr>
        <w:spacing w:before="60" w:after="60"/>
      </w:pPr>
      <w:r>
        <w:rPr>
          <w:b/>
          <w:sz w:val="22"/>
        </w:rPr>
        <w:t xml:space="preserve">Endpoint: </w:t>
      </w:r>
      <w:r>
        <w:rPr>
          <w:sz w:val="22"/>
        </w:rPr>
        <w:t>A user-operated computing device that connects to organisational networks or services</w:t>
      </w:r>
    </w:p>
    <w:p>
      <w:pPr>
        <w:spacing w:before="60" w:after="60"/>
      </w:pPr>
      <w:r>
        <w:rPr>
          <w:b/>
          <w:sz w:val="22"/>
        </w:rPr>
        <w:t xml:space="preserve">EDR (Endpoint Detection and Response): </w:t>
      </w:r>
      <w:r>
        <w:rPr>
          <w:sz w:val="22"/>
        </w:rPr>
        <w:t>A capability that monitors endpoints for suspicious activity and supports investigation and response</w:t>
      </w:r>
    </w:p>
    <w:p>
      <w:pPr>
        <w:spacing w:before="60" w:after="60"/>
      </w:pPr>
      <w:r>
        <w:rPr>
          <w:b/>
          <w:sz w:val="22"/>
        </w:rPr>
        <w:t xml:space="preserve">Mobile Device Management (MDM): </w:t>
      </w:r>
      <w:r>
        <w:rPr>
          <w:sz w:val="22"/>
        </w:rPr>
        <w:t>A platform for managing the configuration, security, and compliance of mobile devices</w:t>
      </w:r>
    </w:p>
    <w:p>
      <w:pPr>
        <w:spacing w:before="240" w:after="80"/>
      </w:pPr>
      <w:r>
        <w:rPr>
          <w:b/>
          <w:sz w:val="24"/>
        </w:rPr>
        <w:t>3.4  Policy Requirements</w:t>
      </w:r>
    </w:p>
    <w:p>
      <w:pPr>
        <w:spacing w:before="240" w:after="80"/>
      </w:pPr>
      <w:r>
        <w:rPr>
          <w:b/>
          <w:sz w:val="22"/>
        </w:rPr>
        <w:t>Build and Configuration</w:t>
      </w:r>
    </w:p>
    <w:p>
      <w:pPr>
        <w:pStyle w:val="ListBullet"/>
        <w:ind w:left="360"/>
      </w:pPr>
      <w:r>
        <w:rPr>
          <w:sz w:val="22"/>
        </w:rPr>
        <w:t>Endpoints must be built from approved corporate images</w:t>
      </w:r>
    </w:p>
    <w:p>
      <w:pPr>
        <w:pStyle w:val="ListBullet"/>
        <w:ind w:left="360"/>
      </w:pPr>
      <w:r>
        <w:rPr>
          <w:sz w:val="22"/>
        </w:rPr>
        <w:t>Local administrator rights must be removed for standard users</w:t>
      </w:r>
    </w:p>
    <w:p>
      <w:pPr>
        <w:pStyle w:val="ListBullet"/>
        <w:ind w:left="360"/>
      </w:pPr>
      <w:r>
        <w:rPr>
          <w:sz w:val="22"/>
        </w:rPr>
        <w:t>Endpoints must be enrolled in the corporate management platform (MDM/UEM)</w:t>
      </w:r>
    </w:p>
    <w:p>
      <w:pPr>
        <w:pStyle w:val="ListBullet"/>
        <w:ind w:left="360"/>
      </w:pPr>
      <w:r>
        <w:rPr>
          <w:sz w:val="22"/>
        </w:rPr>
        <w:t>Devices must use full-disk encryption with recovery keys escrowed</w:t>
      </w:r>
    </w:p>
    <w:p>
      <w:pPr>
        <w:spacing w:before="240" w:after="80"/>
      </w:pPr>
      <w:r>
        <w:rPr>
          <w:b/>
          <w:sz w:val="22"/>
        </w:rPr>
        <w:t>Endpoint Protection</w:t>
      </w:r>
    </w:p>
    <w:p>
      <w:pPr>
        <w:pStyle w:val="ListBullet"/>
        <w:ind w:left="360"/>
      </w:pPr>
      <w:r>
        <w:rPr>
          <w:sz w:val="22"/>
        </w:rPr>
        <w:t>EDR or equivalent endpoint protection must be installed and active</w:t>
      </w:r>
    </w:p>
    <w:p>
      <w:pPr>
        <w:pStyle w:val="ListBullet"/>
        <w:ind w:left="360"/>
      </w:pPr>
      <w:r>
        <w:rPr>
          <w:sz w:val="22"/>
        </w:rPr>
        <w:t>Tamper protection must be enabled on endpoint security agents</w:t>
      </w:r>
    </w:p>
    <w:p>
      <w:pPr>
        <w:pStyle w:val="ListBullet"/>
        <w:ind w:left="360"/>
      </w:pPr>
      <w:r>
        <w:rPr>
          <w:sz w:val="22"/>
        </w:rPr>
        <w:t>Definitions must be updated on a frequent automated schedule</w:t>
      </w:r>
    </w:p>
    <w:p>
      <w:pPr>
        <w:spacing w:before="240" w:after="80"/>
      </w:pPr>
      <w:r>
        <w:rPr>
          <w:b/>
          <w:sz w:val="22"/>
        </w:rPr>
        <w:t>Patching and Updates</w:t>
      </w:r>
    </w:p>
    <w:p>
      <w:pPr>
        <w:pStyle w:val="ListBullet"/>
        <w:ind w:left="360"/>
      </w:pPr>
      <w:r>
        <w:rPr>
          <w:sz w:val="22"/>
        </w:rPr>
        <w:t>Operating system and application updates must be applied within timescales defined by the Patch Management Policy</w:t>
      </w:r>
    </w:p>
    <w:p>
      <w:pPr>
        <w:pStyle w:val="ListBullet"/>
        <w:ind w:left="360"/>
      </w:pPr>
      <w:r>
        <w:rPr>
          <w:sz w:val="22"/>
        </w:rPr>
        <w:t>Critical security updates must be applied promptly even outside normal maintenance windows where risk warrants</w:t>
      </w:r>
    </w:p>
    <w:p>
      <w:pPr>
        <w:spacing w:before="240" w:after="80"/>
      </w:pPr>
      <w:r>
        <w:rPr>
          <w:b/>
          <w:sz w:val="22"/>
        </w:rPr>
        <w:t>Authentication and Lock</w:t>
      </w:r>
    </w:p>
    <w:p>
      <w:pPr>
        <w:pStyle w:val="ListBullet"/>
        <w:ind w:left="360"/>
      </w:pPr>
      <w:r>
        <w:rPr>
          <w:sz w:val="22"/>
        </w:rPr>
        <w:t>Endpoints must require strong authentication and integrate with corporate identity</w:t>
      </w:r>
    </w:p>
    <w:p>
      <w:pPr>
        <w:pStyle w:val="ListBullet"/>
        <w:ind w:left="360"/>
      </w:pPr>
      <w:r>
        <w:rPr>
          <w:sz w:val="22"/>
        </w:rPr>
        <w:t>Automatic screen lock must be enforced after a maximum 10-minute inactivity</w:t>
      </w:r>
    </w:p>
    <w:p>
      <w:pPr>
        <w:spacing w:before="240" w:after="80"/>
      </w:pPr>
      <w:r>
        <w:rPr>
          <w:b/>
          <w:sz w:val="22"/>
        </w:rPr>
        <w:t>Application Control</w:t>
      </w:r>
    </w:p>
    <w:p>
      <w:pPr>
        <w:pStyle w:val="ListBullet"/>
        <w:ind w:left="360"/>
      </w:pPr>
      <w:r>
        <w:rPr>
          <w:sz w:val="22"/>
        </w:rPr>
        <w:t>Software installation must follow the Software Installation Policy</w:t>
      </w:r>
    </w:p>
    <w:p>
      <w:pPr>
        <w:pStyle w:val="ListBullet"/>
        <w:ind w:left="360"/>
      </w:pPr>
      <w:r>
        <w:rPr>
          <w:sz w:val="22"/>
        </w:rPr>
        <w:t>Application allowlisting should be used for high-risk endpoints</w:t>
      </w:r>
    </w:p>
    <w:p>
      <w:pPr>
        <w:spacing w:before="240" w:after="80"/>
      </w:pPr>
      <w:r>
        <w:rPr>
          <w:b/>
          <w:sz w:val="22"/>
        </w:rPr>
        <w:t>Network and Data Controls</w:t>
      </w:r>
    </w:p>
    <w:p>
      <w:pPr>
        <w:pStyle w:val="ListBullet"/>
        <w:ind w:left="360"/>
      </w:pPr>
      <w:r>
        <w:rPr>
          <w:sz w:val="22"/>
        </w:rPr>
        <w:t>Local firewall must be enabled with default-deny inbound</w:t>
      </w:r>
    </w:p>
    <w:p>
      <w:pPr>
        <w:pStyle w:val="ListBullet"/>
        <w:ind w:left="360"/>
      </w:pPr>
      <w:r>
        <w:rPr>
          <w:sz w:val="22"/>
        </w:rPr>
        <w:t>Removable media use must follow the Removable Media Policy</w:t>
      </w:r>
    </w:p>
    <w:p>
      <w:pPr>
        <w:pStyle w:val="ListBullet"/>
        <w:ind w:left="360"/>
      </w:pPr>
      <w:r>
        <w:rPr>
          <w:sz w:val="22"/>
        </w:rPr>
        <w:t>DLP agents must be deployed on endpoints handling sensitive data</w:t>
      </w:r>
    </w:p>
    <w:p>
      <w:pPr>
        <w:spacing w:before="240" w:after="80"/>
      </w:pPr>
      <w:r>
        <w:rPr>
          <w:b/>
          <w:sz w:val="22"/>
        </w:rPr>
        <w:t>Compliance Monitoring</w:t>
      </w:r>
    </w:p>
    <w:p>
      <w:pPr>
        <w:pStyle w:val="ListBullet"/>
        <w:ind w:left="360"/>
      </w:pPr>
      <w:r>
        <w:rPr>
          <w:sz w:val="22"/>
        </w:rPr>
        <w:t>Endpoint compliance with this standard must be monitored continuously</w:t>
      </w:r>
    </w:p>
    <w:p>
      <w:pPr>
        <w:pStyle w:val="ListBullet"/>
        <w:ind w:left="360"/>
      </w:pPr>
      <w:r>
        <w:rPr>
          <w:sz w:val="22"/>
        </w:rPr>
        <w:t>Non-compliant endpoints must be remediated or quarantined from sensitive resources</w:t>
      </w:r>
    </w:p>
    <w:p>
      <w:pPr>
        <w:spacing w:before="240" w:after="80"/>
      </w:pPr>
      <w:r>
        <w:rPr>
          <w:b/>
          <w:sz w:val="24"/>
        </w:rPr>
        <w:t>3.5  Roles and Responsibilities</w:t>
      </w:r>
    </w:p>
    <w:p>
      <w:pPr>
        <w:spacing w:before="80"/>
      </w:pPr>
      <w:r>
        <w:rPr>
          <w:b/>
          <w:sz w:val="22"/>
        </w:rPr>
        <w:t xml:space="preserve">End User Computing Team: </w:t>
      </w:r>
      <w:r>
        <w:rPr>
          <w:sz w:val="22"/>
        </w:rPr>
        <w:t>Operates endpoint management and protection platforms</w:t>
      </w:r>
    </w:p>
    <w:p>
      <w:pPr>
        <w:spacing w:before="80"/>
      </w:pPr>
      <w:r>
        <w:rPr>
          <w:b/>
          <w:sz w:val="22"/>
        </w:rPr>
        <w:t xml:space="preserve">Information Security Manager: </w:t>
      </w:r>
      <w:r>
        <w:rPr>
          <w:sz w:val="22"/>
        </w:rPr>
        <w:t>Defines this standard and oversees compliance</w:t>
      </w:r>
    </w:p>
    <w:p>
      <w:pPr>
        <w:spacing w:before="80"/>
      </w:pPr>
      <w:r>
        <w:rPr>
          <w:b/>
          <w:sz w:val="22"/>
        </w:rPr>
        <w:t xml:space="preserve">Users: </w:t>
      </w:r>
      <w:r>
        <w:rPr>
          <w:sz w:val="22"/>
        </w:rPr>
        <w:t>Cooperate with endpoint management and report issues</w:t>
      </w:r>
    </w:p>
    <w:p>
      <w:pPr>
        <w:spacing w:before="240" w:after="80"/>
      </w:pPr>
      <w:r>
        <w:rPr>
          <w:b/>
          <w:sz w:val="24"/>
        </w:rPr>
        <w:t>3.6  Related Documents</w:t>
      </w:r>
    </w:p>
    <w:p>
      <w:pPr>
        <w:pStyle w:val="ListBullet"/>
        <w:ind w:left="360"/>
      </w:pPr>
      <w:r>
        <w:rPr>
          <w:sz w:val="22"/>
        </w:rPr>
        <w:t>Information System Protection Policy</w:t>
      </w:r>
    </w:p>
    <w:p>
      <w:pPr>
        <w:pStyle w:val="ListBullet"/>
        <w:ind w:left="360"/>
      </w:pPr>
      <w:r>
        <w:rPr>
          <w:sz w:val="22"/>
        </w:rPr>
        <w:t>Acceptable Use Policy</w:t>
      </w:r>
    </w:p>
    <w:p>
      <w:pPr>
        <w:pStyle w:val="ListBullet"/>
        <w:ind w:left="360"/>
      </w:pPr>
      <w:r>
        <w:rPr>
          <w:sz w:val="22"/>
        </w:rPr>
        <w:t>Mobile Device Security Policy</w:t>
      </w:r>
    </w:p>
    <w:p>
      <w:pPr>
        <w:pStyle w:val="ListBullet"/>
        <w:ind w:left="360"/>
      </w:pPr>
      <w:r>
        <w:rPr>
          <w:sz w:val="22"/>
        </w:rPr>
        <w:t>Software Installation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8.1 - User endpoint devices</w:t>
      </w:r>
    </w:p>
    <w:p>
      <w:pPr>
        <w:pStyle w:val="ListBullet"/>
        <w:ind w:left="360"/>
      </w:pPr>
      <w:r>
        <w:rPr>
          <w:sz w:val="22"/>
        </w:rPr>
        <w:t>8.7 - Protection against malware</w:t>
      </w:r>
    </w:p>
    <w:p>
      <w:pPr>
        <w:pStyle w:val="ListBullet"/>
        <w:ind w:left="360"/>
      </w:pPr>
      <w:r>
        <w:rPr>
          <w:sz w:val="22"/>
        </w:rPr>
        <w:t>8.8 - Management of technical vulnerabilities</w:t>
      </w:r>
    </w:p>
    <w:p>
      <w:pPr>
        <w:pStyle w:val="ListBullet"/>
        <w:ind w:left="360"/>
      </w:pPr>
      <w:r>
        <w:rPr>
          <w:sz w:val="22"/>
        </w:rPr>
        <w:t>8.9 - Configuration management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