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DATA MASKING STANDARDS</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Data Masking Standards</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Data Masking Standards</w:t>
      </w:r>
    </w:p>
    <w:p>
      <w:pPr>
        <w:spacing w:before="240" w:after="80"/>
      </w:pPr>
      <w:r>
        <w:rPr>
          <w:b/>
          <w:sz w:val="24"/>
        </w:rPr>
        <w:t>3.1  Purpose</w:t>
      </w:r>
    </w:p>
    <w:p>
      <w:pPr>
        <w:spacing w:before="40" w:after="120" w:line="280" w:lineRule="exact"/>
      </w:pPr>
      <w:r>
        <w:rPr>
          <w:sz w:val="22"/>
        </w:rPr>
        <w:t>This standard defines technical specifications for data masking, tokenisation, and pseudonymisation used to protect sensitive data when it is processed in environments or contexts that do not require the original values.</w:t>
      </w:r>
    </w:p>
    <w:p>
      <w:pPr>
        <w:spacing w:before="240" w:after="80"/>
      </w:pPr>
      <w:r>
        <w:rPr>
          <w:b/>
          <w:sz w:val="24"/>
        </w:rPr>
        <w:t>3.2  Scope</w:t>
      </w:r>
    </w:p>
    <w:p>
      <w:pPr>
        <w:spacing w:before="40" w:after="120" w:line="280" w:lineRule="exact"/>
      </w:pPr>
      <w:r>
        <w:rPr>
          <w:sz w:val="22"/>
        </w:rPr>
        <w:t>This standard applies to all data masking activities for organisational data, including data used in development, test, training, analytics, and reporting environments.</w:t>
      </w:r>
    </w:p>
    <w:p>
      <w:pPr>
        <w:spacing w:before="240" w:after="80"/>
      </w:pPr>
      <w:r>
        <w:rPr>
          <w:b/>
          <w:sz w:val="24"/>
        </w:rPr>
        <w:t>3.3  Definitions</w:t>
      </w:r>
    </w:p>
    <w:p>
      <w:pPr>
        <w:spacing w:before="60" w:after="60"/>
      </w:pPr>
      <w:r>
        <w:rPr>
          <w:b/>
          <w:sz w:val="22"/>
        </w:rPr>
        <w:t xml:space="preserve">Masking: </w:t>
      </w:r>
      <w:r>
        <w:rPr>
          <w:sz w:val="22"/>
        </w:rPr>
        <w:t>The replacement of sensitive data with realistic but inauthentic values</w:t>
      </w:r>
    </w:p>
    <w:p>
      <w:pPr>
        <w:spacing w:before="60" w:after="60"/>
      </w:pPr>
      <w:r>
        <w:rPr>
          <w:b/>
          <w:sz w:val="22"/>
        </w:rPr>
        <w:t xml:space="preserve">Tokenisation: </w:t>
      </w:r>
      <w:r>
        <w:rPr>
          <w:sz w:val="22"/>
        </w:rPr>
        <w:t>The substitution of sensitive data with a non-sensitive token that maps back through a secure vault</w:t>
      </w:r>
    </w:p>
    <w:p>
      <w:pPr>
        <w:spacing w:before="60" w:after="60"/>
      </w:pPr>
      <w:r>
        <w:rPr>
          <w:b/>
          <w:sz w:val="22"/>
        </w:rPr>
        <w:t xml:space="preserve">Pseudonymisation: </w:t>
      </w:r>
      <w:r>
        <w:rPr>
          <w:sz w:val="22"/>
        </w:rPr>
        <w:t>Processing of personal data such that it can no longer be attributed to a specific data subject without additional information held separately</w:t>
      </w:r>
    </w:p>
    <w:p>
      <w:pPr>
        <w:spacing w:before="60" w:after="60"/>
      </w:pPr>
      <w:r>
        <w:rPr>
          <w:b/>
          <w:sz w:val="22"/>
        </w:rPr>
        <w:t xml:space="preserve">Format-Preserving: </w:t>
      </w:r>
      <w:r>
        <w:rPr>
          <w:sz w:val="22"/>
        </w:rPr>
        <w:t>Masking that retains the structure and format of the original data</w:t>
      </w:r>
    </w:p>
    <w:p>
      <w:pPr>
        <w:spacing w:before="240" w:after="80"/>
      </w:pPr>
      <w:r>
        <w:rPr>
          <w:b/>
          <w:sz w:val="24"/>
        </w:rPr>
        <w:t>3.4  Policy Requirements</w:t>
      </w:r>
    </w:p>
    <w:p>
      <w:pPr>
        <w:spacing w:before="240" w:after="80"/>
      </w:pPr>
      <w:r>
        <w:rPr>
          <w:b/>
          <w:sz w:val="22"/>
        </w:rPr>
        <w:t>When to Use Each Technique</w:t>
      </w:r>
    </w:p>
    <w:p>
      <w:pPr>
        <w:pStyle w:val="ListBullet"/>
        <w:ind w:left="360"/>
      </w:pPr>
      <w:r>
        <w:rPr>
          <w:sz w:val="22"/>
        </w:rPr>
        <w:t>Use static masking for non-production data sets that do not require reversibility</w:t>
      </w:r>
    </w:p>
    <w:p>
      <w:pPr>
        <w:pStyle w:val="ListBullet"/>
        <w:ind w:left="360"/>
      </w:pPr>
      <w:r>
        <w:rPr>
          <w:sz w:val="22"/>
        </w:rPr>
        <w:t>Use tokenisation where the original value must be recoverable in controlled circumstances</w:t>
      </w:r>
    </w:p>
    <w:p>
      <w:pPr>
        <w:pStyle w:val="ListBullet"/>
        <w:ind w:left="360"/>
      </w:pPr>
      <w:r>
        <w:rPr>
          <w:sz w:val="22"/>
        </w:rPr>
        <w:t>Use pseudonymisation as a control for personal data processing where direct identification is not necessary</w:t>
      </w:r>
    </w:p>
    <w:p>
      <w:pPr>
        <w:spacing w:before="240" w:after="80"/>
      </w:pPr>
      <w:r>
        <w:rPr>
          <w:b/>
          <w:sz w:val="22"/>
        </w:rPr>
        <w:t>Field-Level Specifications</w:t>
      </w:r>
    </w:p>
    <w:p>
      <w:pPr>
        <w:pStyle w:val="ListBullet"/>
        <w:ind w:left="360"/>
      </w:pPr>
      <w:r>
        <w:rPr>
          <w:sz w:val="22"/>
        </w:rPr>
        <w:t>Names: replace with locale-appropriate fictitious names from approved dictionaries</w:t>
      </w:r>
    </w:p>
    <w:p>
      <w:pPr>
        <w:pStyle w:val="ListBullet"/>
        <w:ind w:left="360"/>
      </w:pPr>
      <w:r>
        <w:rPr>
          <w:sz w:val="22"/>
        </w:rPr>
        <w:t>Email: replace with structured fictitious addresses preserving domain format</w:t>
      </w:r>
    </w:p>
    <w:p>
      <w:pPr>
        <w:pStyle w:val="ListBullet"/>
        <w:ind w:left="360"/>
      </w:pPr>
      <w:r>
        <w:rPr>
          <w:sz w:val="22"/>
        </w:rPr>
        <w:t>Phone numbers: replace with format-preserving fictitious numbers in approved test ranges</w:t>
      </w:r>
    </w:p>
    <w:p>
      <w:pPr>
        <w:pStyle w:val="ListBullet"/>
        <w:ind w:left="360"/>
      </w:pPr>
      <w:r>
        <w:rPr>
          <w:sz w:val="22"/>
        </w:rPr>
        <w:t>Government identifiers: replace with format-valid but non-real identifiers, ensuring the substitutes are not real persons</w:t>
      </w:r>
    </w:p>
    <w:p>
      <w:pPr>
        <w:pStyle w:val="ListBullet"/>
        <w:ind w:left="360"/>
      </w:pPr>
      <w:r>
        <w:rPr>
          <w:sz w:val="22"/>
        </w:rPr>
        <w:t>Payment card numbers: tokenise via the approved tokenisation service</w:t>
      </w:r>
    </w:p>
    <w:p>
      <w:pPr>
        <w:pStyle w:val="ListBullet"/>
        <w:ind w:left="360"/>
      </w:pPr>
      <w:r>
        <w:rPr>
          <w:sz w:val="22"/>
        </w:rPr>
        <w:t>Free text fields: process for inadvertent disclosure of personal data and redact accordingly</w:t>
      </w:r>
    </w:p>
    <w:p>
      <w:pPr>
        <w:spacing w:before="240" w:after="80"/>
      </w:pPr>
      <w:r>
        <w:rPr>
          <w:b/>
          <w:sz w:val="22"/>
        </w:rPr>
        <w:t>Integrity and Usability</w:t>
      </w:r>
    </w:p>
    <w:p>
      <w:pPr>
        <w:pStyle w:val="ListBullet"/>
        <w:ind w:left="360"/>
      </w:pPr>
      <w:r>
        <w:rPr>
          <w:sz w:val="22"/>
        </w:rPr>
        <w:t>Referential integrity must be maintained across related fields and tables</w:t>
      </w:r>
    </w:p>
    <w:p>
      <w:pPr>
        <w:pStyle w:val="ListBullet"/>
        <w:ind w:left="360"/>
      </w:pPr>
      <w:r>
        <w:rPr>
          <w:sz w:val="22"/>
        </w:rPr>
        <w:t>Distribution and statistical properties must be preserved where required for analytics use</w:t>
      </w:r>
    </w:p>
    <w:p>
      <w:pPr>
        <w:pStyle w:val="ListBullet"/>
        <w:ind w:left="360"/>
      </w:pPr>
      <w:r>
        <w:rPr>
          <w:sz w:val="22"/>
        </w:rPr>
        <w:t>Masked datasets must be tested to confirm absence of identifiable original data</w:t>
      </w:r>
    </w:p>
    <w:p>
      <w:pPr>
        <w:spacing w:before="240" w:after="80"/>
      </w:pPr>
      <w:r>
        <w:rPr>
          <w:b/>
          <w:sz w:val="22"/>
        </w:rPr>
        <w:t>Tooling and Operations</w:t>
      </w:r>
    </w:p>
    <w:p>
      <w:pPr>
        <w:pStyle w:val="ListBullet"/>
        <w:ind w:left="360"/>
      </w:pPr>
      <w:r>
        <w:rPr>
          <w:sz w:val="22"/>
        </w:rPr>
        <w:t>Use approved data masking tooling and the central tokenisation service</w:t>
      </w:r>
    </w:p>
    <w:p>
      <w:pPr>
        <w:pStyle w:val="ListBullet"/>
        <w:ind w:left="360"/>
      </w:pPr>
      <w:r>
        <w:rPr>
          <w:sz w:val="22"/>
        </w:rPr>
        <w:t>Masking jobs must be logged and audited</w:t>
      </w:r>
    </w:p>
    <w:p>
      <w:pPr>
        <w:pStyle w:val="ListBullet"/>
        <w:ind w:left="360"/>
      </w:pPr>
      <w:r>
        <w:rPr>
          <w:sz w:val="22"/>
        </w:rPr>
        <w:t>Token vaults must be protected with strong access control and key management</w:t>
      </w:r>
    </w:p>
    <w:p>
      <w:pPr>
        <w:spacing w:before="240" w:after="80"/>
      </w:pPr>
      <w:r>
        <w:rPr>
          <w:b/>
          <w:sz w:val="22"/>
        </w:rPr>
        <w:t>Governance</w:t>
      </w:r>
    </w:p>
    <w:p>
      <w:pPr>
        <w:pStyle w:val="ListBullet"/>
        <w:ind w:left="360"/>
      </w:pPr>
      <w:r>
        <w:rPr>
          <w:sz w:val="22"/>
        </w:rPr>
        <w:t>Data Owners must approve the masking approach for their data</w:t>
      </w:r>
    </w:p>
    <w:p>
      <w:pPr>
        <w:pStyle w:val="ListBullet"/>
        <w:ind w:left="360"/>
      </w:pPr>
      <w:r>
        <w:rPr>
          <w:sz w:val="22"/>
        </w:rPr>
        <w:t>Privacy must review masking approaches for personal data</w:t>
      </w:r>
    </w:p>
    <w:p>
      <w:pPr>
        <w:spacing w:before="240" w:after="80"/>
      </w:pPr>
      <w:r>
        <w:rPr>
          <w:b/>
          <w:sz w:val="24"/>
        </w:rPr>
        <w:t>3.5  Roles and Responsibilities</w:t>
      </w:r>
    </w:p>
    <w:p>
      <w:pPr>
        <w:spacing w:before="80"/>
      </w:pPr>
      <w:r>
        <w:rPr>
          <w:b/>
          <w:sz w:val="22"/>
        </w:rPr>
        <w:t xml:space="preserve">Data Owner: </w:t>
      </w:r>
      <w:r>
        <w:rPr>
          <w:sz w:val="22"/>
        </w:rPr>
        <w:t>Approves masking approaches for their data</w:t>
      </w:r>
    </w:p>
    <w:p>
      <w:pPr>
        <w:spacing w:before="80"/>
      </w:pPr>
      <w:r>
        <w:rPr>
          <w:b/>
          <w:sz w:val="22"/>
        </w:rPr>
        <w:t xml:space="preserve">Data Engineering: </w:t>
      </w:r>
      <w:r>
        <w:rPr>
          <w:sz w:val="22"/>
        </w:rPr>
        <w:t>Implements masking jobs and pipelines</w:t>
      </w:r>
    </w:p>
    <w:p>
      <w:pPr>
        <w:spacing w:before="80"/>
      </w:pPr>
      <w:r>
        <w:rPr>
          <w:b/>
          <w:sz w:val="22"/>
        </w:rPr>
        <w:t xml:space="preserve">Privacy: </w:t>
      </w:r>
      <w:r>
        <w:rPr>
          <w:sz w:val="22"/>
        </w:rPr>
        <w:t>Reviews masking approaches for personal data</w:t>
      </w:r>
    </w:p>
    <w:p>
      <w:pPr>
        <w:spacing w:before="80"/>
      </w:pPr>
      <w:r>
        <w:rPr>
          <w:b/>
          <w:sz w:val="22"/>
        </w:rPr>
        <w:t xml:space="preserve">Information Security Manager: </w:t>
      </w:r>
      <w:r>
        <w:rPr>
          <w:sz w:val="22"/>
        </w:rPr>
        <w:t>Maintains the standard and approves tooling</w:t>
      </w:r>
    </w:p>
    <w:p>
      <w:pPr>
        <w:spacing w:before="240" w:after="80"/>
      </w:pPr>
      <w:r>
        <w:rPr>
          <w:b/>
          <w:sz w:val="24"/>
        </w:rPr>
        <w:t>3.6  Related Documents</w:t>
      </w:r>
    </w:p>
    <w:p>
      <w:pPr>
        <w:pStyle w:val="ListBullet"/>
        <w:ind w:left="360"/>
      </w:pPr>
      <w:r>
        <w:rPr>
          <w:sz w:val="22"/>
        </w:rPr>
        <w:t>Data Protection Policy</w:t>
      </w:r>
    </w:p>
    <w:p>
      <w:pPr>
        <w:pStyle w:val="ListBullet"/>
        <w:ind w:left="360"/>
      </w:pPr>
      <w:r>
        <w:rPr>
          <w:sz w:val="22"/>
        </w:rPr>
        <w:t>PII Masking Checklist</w:t>
      </w:r>
    </w:p>
    <w:p>
      <w:pPr>
        <w:pStyle w:val="ListBullet"/>
        <w:ind w:left="360"/>
      </w:pPr>
      <w:r>
        <w:rPr>
          <w:sz w:val="22"/>
        </w:rPr>
        <w:t>Environment Configuration Standards</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8.11 - Data masking</w:t>
      </w:r>
    </w:p>
    <w:p>
      <w:pPr>
        <w:pStyle w:val="ListBullet"/>
        <w:ind w:left="360"/>
      </w:pPr>
      <w:r>
        <w:rPr>
          <w:sz w:val="22"/>
        </w:rPr>
        <w:t>8.12 - Data leakage prevention</w:t>
      </w:r>
    </w:p>
    <w:p>
      <w:pPr>
        <w:pStyle w:val="ListBullet"/>
        <w:ind w:left="360"/>
      </w:pPr>
      <w:r>
        <w:rPr>
          <w:sz w:val="22"/>
        </w:rPr>
        <w:t>5.34 - Privacy and protection of PII</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