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CLOUD SERVICE SECURITY REQUIREMENTS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Cloud Service Security Requirements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Cloud Service Security Requirements</w:t>
      </w:r>
    </w:p>
    <w:p>
      <w:pPr>
        <w:spacing w:before="240" w:after="80"/>
      </w:pPr>
      <w:r>
        <w:rPr>
          <w:b/>
          <w:sz w:val="24"/>
        </w:rPr>
        <w:t>3.1  Purpose</w:t>
      </w:r>
    </w:p>
    <w:p>
      <w:pPr>
        <w:spacing w:before="40" w:after="120" w:line="280" w:lineRule="exact"/>
      </w:pPr>
      <w:r>
        <w:rPr>
          <w:sz w:val="22"/>
        </w:rPr>
        <w:t>This standard defines the technical and contractual security requirements for evaluating, onboarding, and operating cloud services. It enables consistent assurance across all cloud service consumption.</w:t>
      </w:r>
    </w:p>
    <w:p>
      <w:pPr>
        <w:spacing w:before="240" w:after="80"/>
      </w:pPr>
      <w:r>
        <w:rPr>
          <w:b/>
          <w:sz w:val="24"/>
        </w:rPr>
        <w:t>3.2  Scope</w:t>
      </w:r>
    </w:p>
    <w:p>
      <w:pPr>
        <w:spacing w:before="40" w:after="120" w:line="280" w:lineRule="exact"/>
      </w:pPr>
      <w:r>
        <w:rPr>
          <w:sz w:val="22"/>
        </w:rPr>
        <w:t>This standard applies to all cloud services consumed by the organisation, including SaaS, PaaS, IaaS, and managed services, regardless of the consumption model.</w:t>
      </w:r>
    </w:p>
    <w:p>
      <w:pPr>
        <w:spacing w:before="240" w:after="80"/>
      </w:pPr>
      <w:r>
        <w:rPr>
          <w:b/>
          <w:sz w:val="24"/>
        </w:rPr>
        <w:t>3.3  Definitions</w:t>
      </w:r>
    </w:p>
    <w:p>
      <w:pPr>
        <w:spacing w:before="60" w:after="60"/>
      </w:pPr>
      <w:r>
        <w:rPr>
          <w:b/>
          <w:sz w:val="22"/>
        </w:rPr>
        <w:t xml:space="preserve">Cloud Service Provider (CSP): </w:t>
      </w:r>
      <w:r>
        <w:rPr>
          <w:sz w:val="22"/>
        </w:rPr>
        <w:t>An organisation that provides cloud services to consumers</w:t>
      </w:r>
    </w:p>
    <w:p>
      <w:pPr>
        <w:spacing w:before="60" w:after="60"/>
      </w:pPr>
      <w:r>
        <w:rPr>
          <w:b/>
          <w:sz w:val="22"/>
        </w:rPr>
        <w:t xml:space="preserve">Shared Responsibility Model: </w:t>
      </w:r>
      <w:r>
        <w:rPr>
          <w:sz w:val="22"/>
        </w:rPr>
        <w:t>The allocation of security responsibilities between the CSP and the consumer based on the service model</w:t>
      </w:r>
    </w:p>
    <w:p>
      <w:pPr>
        <w:spacing w:before="60" w:after="60"/>
      </w:pPr>
      <w:r>
        <w:rPr>
          <w:b/>
          <w:sz w:val="22"/>
        </w:rPr>
        <w:t xml:space="preserve">Cloud Access Security Broker (CASB): </w:t>
      </w:r>
      <w:r>
        <w:rPr>
          <w:sz w:val="22"/>
        </w:rPr>
        <w:t>A control point between cloud consumers and providers that enforces policy</w:t>
      </w:r>
    </w:p>
    <w:p>
      <w:pPr>
        <w:spacing w:before="60" w:after="60"/>
      </w:pPr>
      <w:r>
        <w:rPr>
          <w:b/>
          <w:sz w:val="22"/>
        </w:rPr>
        <w:t xml:space="preserve">Tenancy: </w:t>
      </w:r>
      <w:r>
        <w:rPr>
          <w:sz w:val="22"/>
        </w:rPr>
        <w:t>The model of resource isolation between consumers, ranging from dedicated to shared</w:t>
      </w:r>
    </w:p>
    <w:p>
      <w:pPr>
        <w:spacing w:before="240" w:after="80"/>
      </w:pPr>
      <w:r>
        <w:rPr>
          <w:b/>
          <w:sz w:val="24"/>
        </w:rPr>
        <w:t>3.4  Policy Requirements</w:t>
      </w:r>
    </w:p>
    <w:p>
      <w:pPr>
        <w:spacing w:before="240" w:after="80"/>
      </w:pPr>
      <w:r>
        <w:rPr>
          <w:b/>
          <w:sz w:val="22"/>
        </w:rPr>
        <w:t>Provider Assurance</w:t>
      </w:r>
    </w:p>
    <w:p>
      <w:pPr>
        <w:pStyle w:val="ListBullet"/>
        <w:ind w:left="360"/>
      </w:pPr>
      <w:r>
        <w:rPr>
          <w:sz w:val="22"/>
        </w:rPr>
        <w:t>CSPs must hold current and applicable independent attestations such as ISO 27001, SOC 2 Type II, ISO 27017, or ISO 27018 as relevant to the service</w:t>
      </w:r>
    </w:p>
    <w:p>
      <w:pPr>
        <w:pStyle w:val="ListBullet"/>
        <w:ind w:left="360"/>
      </w:pPr>
      <w:r>
        <w:rPr>
          <w:sz w:val="22"/>
        </w:rPr>
        <w:t>Attestations must be reviewed annually and at contract renewal</w:t>
      </w:r>
    </w:p>
    <w:p>
      <w:pPr>
        <w:pStyle w:val="ListBullet"/>
        <w:ind w:left="360"/>
      </w:pPr>
      <w:r>
        <w:rPr>
          <w:sz w:val="22"/>
        </w:rPr>
        <w:t>Where attestations are insufficient, additional assurance through questionnaires or audits must be obtained</w:t>
      </w:r>
    </w:p>
    <w:p>
      <w:pPr>
        <w:spacing w:before="240" w:after="80"/>
      </w:pPr>
      <w:r>
        <w:rPr>
          <w:b/>
          <w:sz w:val="22"/>
        </w:rPr>
        <w:t>Data Protection</w:t>
      </w:r>
    </w:p>
    <w:p>
      <w:pPr>
        <w:pStyle w:val="ListBullet"/>
        <w:ind w:left="360"/>
      </w:pPr>
      <w:r>
        <w:rPr>
          <w:sz w:val="22"/>
        </w:rPr>
        <w:t>Data must be encrypted in transit using TLS 1.2 or higher</w:t>
      </w:r>
    </w:p>
    <w:p>
      <w:pPr>
        <w:pStyle w:val="ListBullet"/>
        <w:ind w:left="360"/>
      </w:pPr>
      <w:r>
        <w:rPr>
          <w:sz w:val="22"/>
        </w:rPr>
        <w:t>Data must be encrypted at rest using approved algorithms</w:t>
      </w:r>
    </w:p>
    <w:p>
      <w:pPr>
        <w:pStyle w:val="ListBullet"/>
        <w:ind w:left="360"/>
      </w:pPr>
      <w:r>
        <w:rPr>
          <w:sz w:val="22"/>
        </w:rPr>
        <w:t>Encryption keys should be managed by the consumer where feasible (BYOK or HYOK)</w:t>
      </w:r>
    </w:p>
    <w:p>
      <w:pPr>
        <w:pStyle w:val="ListBullet"/>
        <w:ind w:left="360"/>
      </w:pPr>
      <w:r>
        <w:rPr>
          <w:sz w:val="22"/>
        </w:rPr>
        <w:t>Data residency and cross-border transfer mechanisms must be documented and approved</w:t>
      </w:r>
    </w:p>
    <w:p>
      <w:pPr>
        <w:spacing w:before="240" w:after="80"/>
      </w:pPr>
      <w:r>
        <w:rPr>
          <w:b/>
          <w:sz w:val="22"/>
        </w:rPr>
        <w:t>Identity and Access</w:t>
      </w:r>
    </w:p>
    <w:p>
      <w:pPr>
        <w:pStyle w:val="ListBullet"/>
        <w:ind w:left="360"/>
      </w:pPr>
      <w:r>
        <w:rPr>
          <w:sz w:val="22"/>
        </w:rPr>
        <w:t>Cloud services must support federation with the corporate identity provider</w:t>
      </w:r>
    </w:p>
    <w:p>
      <w:pPr>
        <w:pStyle w:val="ListBullet"/>
        <w:ind w:left="360"/>
      </w:pPr>
      <w:r>
        <w:rPr>
          <w:sz w:val="22"/>
        </w:rPr>
        <w:t>MFA must be enforced for all administrative and privileged access</w:t>
      </w:r>
    </w:p>
    <w:p>
      <w:pPr>
        <w:pStyle w:val="ListBullet"/>
        <w:ind w:left="360"/>
      </w:pPr>
      <w:r>
        <w:rPr>
          <w:sz w:val="22"/>
        </w:rPr>
        <w:t>Role-based access control must be configured aligned with least privilege</w:t>
      </w:r>
    </w:p>
    <w:p>
      <w:pPr>
        <w:pStyle w:val="ListBullet"/>
        <w:ind w:left="360"/>
      </w:pPr>
      <w:r>
        <w:rPr>
          <w:sz w:val="22"/>
        </w:rPr>
        <w:t>Privileged access must be brokered through the PAM system where supported</w:t>
      </w:r>
    </w:p>
    <w:p>
      <w:pPr>
        <w:spacing w:before="240" w:after="80"/>
      </w:pPr>
      <w:r>
        <w:rPr>
          <w:b/>
          <w:sz w:val="22"/>
        </w:rPr>
        <w:t>Logging and Monitoring</w:t>
      </w:r>
    </w:p>
    <w:p>
      <w:pPr>
        <w:pStyle w:val="ListBullet"/>
        <w:ind w:left="360"/>
      </w:pPr>
      <w:r>
        <w:rPr>
          <w:sz w:val="22"/>
        </w:rPr>
        <w:t>Audit logs must be available, integrable with the corporate SIEM, and retained per policy</w:t>
      </w:r>
    </w:p>
    <w:p>
      <w:pPr>
        <w:pStyle w:val="ListBullet"/>
        <w:ind w:left="360"/>
      </w:pPr>
      <w:r>
        <w:rPr>
          <w:sz w:val="22"/>
        </w:rPr>
        <w:t>Configuration changes must be logged</w:t>
      </w:r>
    </w:p>
    <w:p>
      <w:pPr>
        <w:pStyle w:val="ListBullet"/>
        <w:ind w:left="360"/>
      </w:pPr>
      <w:r>
        <w:rPr>
          <w:sz w:val="22"/>
        </w:rPr>
        <w:t>Cloud security posture management tooling must be used to detect misconfigurations</w:t>
      </w:r>
    </w:p>
    <w:p>
      <w:pPr>
        <w:spacing w:before="240" w:after="80"/>
      </w:pPr>
      <w:r>
        <w:rPr>
          <w:b/>
          <w:sz w:val="22"/>
        </w:rPr>
        <w:t>Operational Resilience</w:t>
      </w:r>
    </w:p>
    <w:p>
      <w:pPr>
        <w:pStyle w:val="ListBullet"/>
        <w:ind w:left="360"/>
      </w:pPr>
      <w:r>
        <w:rPr>
          <w:sz w:val="22"/>
        </w:rPr>
        <w:t>SLAs for availability and recovery must align with business continuity requirements</w:t>
      </w:r>
    </w:p>
    <w:p>
      <w:pPr>
        <w:pStyle w:val="ListBullet"/>
        <w:ind w:left="360"/>
      </w:pPr>
      <w:r>
        <w:rPr>
          <w:sz w:val="22"/>
        </w:rPr>
        <w:t>Backup and recovery must be tested in line with the Business Continuity Plan</w:t>
      </w:r>
    </w:p>
    <w:p>
      <w:pPr>
        <w:pStyle w:val="ListBullet"/>
        <w:ind w:left="360"/>
      </w:pPr>
      <w:r>
        <w:rPr>
          <w:sz w:val="22"/>
        </w:rPr>
        <w:t>Multi-region or multi-availability-zone configurations must be used for critical services</w:t>
      </w:r>
    </w:p>
    <w:p>
      <w:pPr>
        <w:spacing w:before="240" w:after="80"/>
      </w:pPr>
      <w:r>
        <w:rPr>
          <w:b/>
          <w:sz w:val="22"/>
        </w:rPr>
        <w:t>Data Portability and Exit</w:t>
      </w:r>
    </w:p>
    <w:p>
      <w:pPr>
        <w:pStyle w:val="ListBullet"/>
        <w:ind w:left="360"/>
      </w:pPr>
      <w:r>
        <w:rPr>
          <w:sz w:val="22"/>
        </w:rPr>
        <w:t>Contracts must include data return or destruction at end of service</w:t>
      </w:r>
    </w:p>
    <w:p>
      <w:pPr>
        <w:pStyle w:val="ListBullet"/>
        <w:ind w:left="360"/>
      </w:pPr>
      <w:r>
        <w:rPr>
          <w:sz w:val="22"/>
        </w:rPr>
        <w:t>Standard formats and APIs must be available to support exit</w:t>
      </w:r>
    </w:p>
    <w:p>
      <w:pPr>
        <w:pStyle w:val="ListBullet"/>
        <w:ind w:left="360"/>
      </w:pPr>
      <w:r>
        <w:rPr>
          <w:sz w:val="22"/>
        </w:rPr>
        <w:t>Exit plans must be documented for material services</w:t>
      </w:r>
    </w:p>
    <w:p>
      <w:pPr>
        <w:spacing w:before="240" w:after="80"/>
      </w:pPr>
      <w:r>
        <w:rPr>
          <w:b/>
          <w:sz w:val="24"/>
        </w:rPr>
        <w:t>3.5  Roles and Responsibilities</w:t>
      </w:r>
    </w:p>
    <w:p>
      <w:pPr>
        <w:spacing w:before="80"/>
      </w:pPr>
      <w:r>
        <w:rPr>
          <w:b/>
          <w:sz w:val="22"/>
        </w:rPr>
        <w:t xml:space="preserve">Cloud Architect: </w:t>
      </w:r>
      <w:r>
        <w:rPr>
          <w:sz w:val="22"/>
        </w:rPr>
        <w:t>Designs cloud-consuming solutions in line with this standard</w:t>
      </w:r>
    </w:p>
    <w:p>
      <w:pPr>
        <w:spacing w:before="80"/>
      </w:pPr>
      <w:r>
        <w:rPr>
          <w:b/>
          <w:sz w:val="22"/>
        </w:rPr>
        <w:t xml:space="preserve">Information Security Manager: </w:t>
      </w:r>
      <w:r>
        <w:rPr>
          <w:sz w:val="22"/>
        </w:rPr>
        <w:t>Reviews and approves cloud service onboarding</w:t>
      </w:r>
    </w:p>
    <w:p>
      <w:pPr>
        <w:spacing w:before="80"/>
      </w:pPr>
      <w:r>
        <w:rPr>
          <w:b/>
          <w:sz w:val="22"/>
        </w:rPr>
        <w:t xml:space="preserve">Procurement: </w:t>
      </w:r>
      <w:r>
        <w:rPr>
          <w:sz w:val="22"/>
        </w:rPr>
        <w:t>Embeds requirements into contracts</w:t>
      </w:r>
    </w:p>
    <w:p>
      <w:pPr>
        <w:spacing w:before="240" w:after="80"/>
      </w:pPr>
      <w:r>
        <w:rPr>
          <w:b/>
          <w:sz w:val="24"/>
        </w:rPr>
        <w:t>3.6  Related Documents</w:t>
      </w:r>
    </w:p>
    <w:p>
      <w:pPr>
        <w:pStyle w:val="ListBullet"/>
        <w:ind w:left="360"/>
      </w:pPr>
      <w:r>
        <w:rPr>
          <w:sz w:val="22"/>
        </w:rPr>
        <w:t>Third-Party Supplier Security Policy</w:t>
      </w:r>
    </w:p>
    <w:p>
      <w:pPr>
        <w:pStyle w:val="ListBullet"/>
        <w:ind w:left="360"/>
      </w:pPr>
      <w:r>
        <w:rPr>
          <w:sz w:val="22"/>
        </w:rPr>
        <w:t>Cloud Vendor Assessment Checklist</w:t>
      </w:r>
    </w:p>
    <w:p>
      <w:pPr>
        <w:pStyle w:val="ListBullet"/>
        <w:ind w:left="360"/>
      </w:pPr>
      <w:r>
        <w:rPr>
          <w:sz w:val="22"/>
        </w:rPr>
        <w:t>Encryption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5.23 - Information security for use of cloud services</w:t>
      </w:r>
    </w:p>
    <w:p>
      <w:pPr>
        <w:pStyle w:val="ListBullet"/>
        <w:ind w:left="360"/>
      </w:pPr>
      <w:r>
        <w:rPr>
          <w:sz w:val="22"/>
        </w:rPr>
        <w:t>5.19 - Information security in supplier relationships</w:t>
      </w:r>
    </w:p>
    <w:p>
      <w:pPr>
        <w:pStyle w:val="ListBullet"/>
        <w:ind w:left="360"/>
      </w:pPr>
      <w:r>
        <w:rPr>
          <w:sz w:val="22"/>
        </w:rPr>
        <w:t>8.24 - Use of cryptography</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