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AUTHENTICATION STANDARDS</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Authentication Standards</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Authentication Standards</w:t>
      </w:r>
    </w:p>
    <w:p>
      <w:pPr>
        <w:spacing w:before="240" w:after="80"/>
      </w:pPr>
      <w:r>
        <w:rPr>
          <w:b/>
          <w:sz w:val="24"/>
        </w:rPr>
        <w:t>3.1  Purpose</w:t>
      </w:r>
    </w:p>
    <w:p>
      <w:pPr>
        <w:spacing w:before="40" w:after="120" w:line="280" w:lineRule="exact"/>
      </w:pPr>
      <w:r>
        <w:rPr>
          <w:sz w:val="22"/>
        </w:rPr>
        <w:t>This standard defines the technical requirements for the authentication of users, services, and devices accessing organisational information systems. Authentication is the foundation of access control and must be implemented consistently across the technology estate.</w:t>
      </w:r>
    </w:p>
    <w:p>
      <w:pPr>
        <w:spacing w:before="240" w:after="80"/>
      </w:pPr>
      <w:r>
        <w:rPr>
          <w:b/>
          <w:sz w:val="24"/>
        </w:rPr>
        <w:t>3.2  Scope</w:t>
      </w:r>
    </w:p>
    <w:p>
      <w:pPr>
        <w:spacing w:before="40" w:after="120" w:line="280" w:lineRule="exact"/>
      </w:pPr>
      <w:r>
        <w:rPr>
          <w:sz w:val="22"/>
        </w:rPr>
        <w:t>This standard applies to all systems requiring authentication, including on-premises systems, cloud services, applications, network devices, and APIs.</w:t>
      </w:r>
    </w:p>
    <w:p>
      <w:pPr>
        <w:spacing w:before="240" w:after="80"/>
      </w:pPr>
      <w:r>
        <w:rPr>
          <w:b/>
          <w:sz w:val="24"/>
        </w:rPr>
        <w:t>3.3  Definitions</w:t>
      </w:r>
    </w:p>
    <w:p>
      <w:pPr>
        <w:spacing w:before="60" w:after="60"/>
      </w:pPr>
      <w:r>
        <w:rPr>
          <w:b/>
          <w:sz w:val="22"/>
        </w:rPr>
        <w:t xml:space="preserve">Authentication Factor: </w:t>
      </w:r>
      <w:r>
        <w:rPr>
          <w:sz w:val="22"/>
        </w:rPr>
        <w:t>A category of evidence used to prove identity, typically something the user knows, has, or is</w:t>
      </w:r>
    </w:p>
    <w:p>
      <w:pPr>
        <w:spacing w:before="60" w:after="60"/>
      </w:pPr>
      <w:r>
        <w:rPr>
          <w:b/>
          <w:sz w:val="22"/>
        </w:rPr>
        <w:t xml:space="preserve">Multi-Factor Authentication (MFA): </w:t>
      </w:r>
      <w:r>
        <w:rPr>
          <w:sz w:val="22"/>
        </w:rPr>
        <w:t>Authentication using two or more distinct factors</w:t>
      </w:r>
    </w:p>
    <w:p>
      <w:pPr>
        <w:spacing w:before="60" w:after="60"/>
      </w:pPr>
      <w:r>
        <w:rPr>
          <w:b/>
          <w:sz w:val="22"/>
        </w:rPr>
        <w:t xml:space="preserve">Passwordless Authentication: </w:t>
      </w:r>
      <w:r>
        <w:rPr>
          <w:sz w:val="22"/>
        </w:rPr>
        <w:t>Authentication using methods such as security keys, certificates, or platform authenticators that do not rely on shared secrets</w:t>
      </w:r>
    </w:p>
    <w:p>
      <w:pPr>
        <w:spacing w:before="60" w:after="60"/>
      </w:pPr>
      <w:r>
        <w:rPr>
          <w:b/>
          <w:sz w:val="22"/>
        </w:rPr>
        <w:t xml:space="preserve">Session: </w:t>
      </w:r>
      <w:r>
        <w:rPr>
          <w:sz w:val="22"/>
        </w:rPr>
        <w:t>An authenticated period during which a user can interact with a system without re-authenticating</w:t>
      </w:r>
    </w:p>
    <w:p>
      <w:pPr>
        <w:spacing w:before="240" w:after="80"/>
      </w:pPr>
      <w:r>
        <w:rPr>
          <w:b/>
          <w:sz w:val="24"/>
        </w:rPr>
        <w:t>3.4  Policy Requirements</w:t>
      </w:r>
    </w:p>
    <w:p>
      <w:pPr>
        <w:spacing w:before="240" w:after="80"/>
      </w:pPr>
      <w:r>
        <w:rPr>
          <w:b/>
          <w:sz w:val="22"/>
        </w:rPr>
        <w:t>Identity Sources</w:t>
      </w:r>
    </w:p>
    <w:p>
      <w:pPr>
        <w:pStyle w:val="ListBullet"/>
        <w:ind w:left="360"/>
      </w:pPr>
      <w:r>
        <w:rPr>
          <w:sz w:val="22"/>
        </w:rPr>
        <w:t>Authentication must be against an authoritative identity source, typically the corporate identity provider</w:t>
      </w:r>
    </w:p>
    <w:p>
      <w:pPr>
        <w:pStyle w:val="ListBullet"/>
        <w:ind w:left="360"/>
      </w:pPr>
      <w:r>
        <w:rPr>
          <w:sz w:val="22"/>
        </w:rPr>
        <w:t>Locally provisioned accounts must be exceptional and tightly controlled</w:t>
      </w:r>
    </w:p>
    <w:p>
      <w:pPr>
        <w:pStyle w:val="ListBullet"/>
        <w:ind w:left="360"/>
      </w:pPr>
      <w:r>
        <w:rPr>
          <w:sz w:val="22"/>
        </w:rPr>
        <w:t>Federated authentication must use SAML 2.0, OpenID Connect, or equivalent approved protocols</w:t>
      </w:r>
    </w:p>
    <w:p>
      <w:pPr>
        <w:spacing w:before="240" w:after="80"/>
      </w:pPr>
      <w:r>
        <w:rPr>
          <w:b/>
          <w:sz w:val="22"/>
        </w:rPr>
        <w:t>Multi-Factor Authentication</w:t>
      </w:r>
    </w:p>
    <w:p>
      <w:pPr>
        <w:pStyle w:val="ListBullet"/>
        <w:ind w:left="360"/>
      </w:pPr>
      <w:r>
        <w:rPr>
          <w:sz w:val="22"/>
        </w:rPr>
        <w:t>MFA is required for all interactive user access to organisational systems</w:t>
      </w:r>
    </w:p>
    <w:p>
      <w:pPr>
        <w:pStyle w:val="ListBullet"/>
        <w:ind w:left="360"/>
      </w:pPr>
      <w:r>
        <w:rPr>
          <w:sz w:val="22"/>
        </w:rPr>
        <w:t>MFA must use phishing-resistant factors such as FIDO2 security keys, platform authenticators, or push notifications with number matching</w:t>
      </w:r>
    </w:p>
    <w:p>
      <w:pPr>
        <w:pStyle w:val="ListBullet"/>
        <w:ind w:left="360"/>
      </w:pPr>
      <w:r>
        <w:rPr>
          <w:sz w:val="22"/>
        </w:rPr>
        <w:t>SMS-based OTP must not be used as a second factor for privileged or remote access</w:t>
      </w:r>
    </w:p>
    <w:p>
      <w:pPr>
        <w:pStyle w:val="ListBullet"/>
        <w:ind w:left="360"/>
      </w:pPr>
      <w:r>
        <w:rPr>
          <w:sz w:val="22"/>
        </w:rPr>
        <w:t>MFA prompts must include context to allow users to detect and report fraudulent prompts</w:t>
      </w:r>
    </w:p>
    <w:p>
      <w:pPr>
        <w:spacing w:before="240" w:after="80"/>
      </w:pPr>
      <w:r>
        <w:rPr>
          <w:b/>
          <w:sz w:val="22"/>
        </w:rPr>
        <w:t>Passwords</w:t>
      </w:r>
    </w:p>
    <w:p>
      <w:pPr>
        <w:pStyle w:val="ListBullet"/>
        <w:ind w:left="360"/>
      </w:pPr>
      <w:r>
        <w:rPr>
          <w:sz w:val="22"/>
        </w:rPr>
        <w:t>Where passwords are used, minimum length is 14 characters with no upper composition complexity requirements</w:t>
      </w:r>
    </w:p>
    <w:p>
      <w:pPr>
        <w:pStyle w:val="ListBullet"/>
        <w:ind w:left="360"/>
      </w:pPr>
      <w:r>
        <w:rPr>
          <w:sz w:val="22"/>
        </w:rPr>
        <w:t>Passwords must be checked against breach corpus and rejected if compromised</w:t>
      </w:r>
    </w:p>
    <w:p>
      <w:pPr>
        <w:pStyle w:val="ListBullet"/>
        <w:ind w:left="360"/>
      </w:pPr>
      <w:r>
        <w:rPr>
          <w:sz w:val="22"/>
        </w:rPr>
        <w:t>Forced periodic rotation is not required where MFA and breach detection are in place</w:t>
      </w:r>
    </w:p>
    <w:p>
      <w:pPr>
        <w:pStyle w:val="ListBullet"/>
        <w:ind w:left="360"/>
      </w:pPr>
      <w:r>
        <w:rPr>
          <w:sz w:val="22"/>
        </w:rPr>
        <w:t>Passwords must be hashed using approved algorithms such as Argon2, scrypt, or bcrypt with appropriate work factors</w:t>
      </w:r>
    </w:p>
    <w:p>
      <w:pPr>
        <w:spacing w:before="240" w:after="80"/>
      </w:pPr>
      <w:r>
        <w:rPr>
          <w:b/>
          <w:sz w:val="22"/>
        </w:rPr>
        <w:t>Session Management</w:t>
      </w:r>
    </w:p>
    <w:p>
      <w:pPr>
        <w:pStyle w:val="ListBullet"/>
        <w:ind w:left="360"/>
      </w:pPr>
      <w:r>
        <w:rPr>
          <w:sz w:val="22"/>
        </w:rPr>
        <w:t>Session timeout for interactive sessions must not exceed 12 hours of activity and 30 minutes of inactivity for privileged contexts</w:t>
      </w:r>
    </w:p>
    <w:p>
      <w:pPr>
        <w:pStyle w:val="ListBullet"/>
        <w:ind w:left="360"/>
      </w:pPr>
      <w:r>
        <w:rPr>
          <w:sz w:val="22"/>
        </w:rPr>
        <w:t>Re-authentication is required for high-risk actions such as financial approval or security-relevant changes</w:t>
      </w:r>
    </w:p>
    <w:p>
      <w:pPr>
        <w:pStyle w:val="ListBullet"/>
        <w:ind w:left="360"/>
      </w:pPr>
      <w:r>
        <w:rPr>
          <w:sz w:val="22"/>
        </w:rPr>
        <w:t>Session identifiers must be cryptographically strong and bound to client context where feasible</w:t>
      </w:r>
    </w:p>
    <w:p>
      <w:pPr>
        <w:spacing w:before="240" w:after="80"/>
      </w:pPr>
      <w:r>
        <w:rPr>
          <w:b/>
          <w:sz w:val="22"/>
        </w:rPr>
        <w:t>Service and Machine Authentication</w:t>
      </w:r>
    </w:p>
    <w:p>
      <w:pPr>
        <w:pStyle w:val="ListBullet"/>
        <w:ind w:left="360"/>
      </w:pPr>
      <w:r>
        <w:rPr>
          <w:sz w:val="22"/>
        </w:rPr>
        <w:t>Service accounts must use strong, vaulted credentials or certificate-based authentication</w:t>
      </w:r>
    </w:p>
    <w:p>
      <w:pPr>
        <w:pStyle w:val="ListBullet"/>
        <w:ind w:left="360"/>
      </w:pPr>
      <w:r>
        <w:rPr>
          <w:sz w:val="22"/>
        </w:rPr>
        <w:t>Machine identities should use short-lived credentials issued through a managed identity service</w:t>
      </w:r>
    </w:p>
    <w:p>
      <w:pPr>
        <w:pStyle w:val="ListBullet"/>
        <w:ind w:left="360"/>
      </w:pPr>
      <w:r>
        <w:rPr>
          <w:sz w:val="22"/>
        </w:rPr>
        <w:t>Mutual TLS must be used for service-to-service authentication where supported</w:t>
      </w:r>
    </w:p>
    <w:p>
      <w:pPr>
        <w:spacing w:before="240" w:after="80"/>
      </w:pPr>
      <w:r>
        <w:rPr>
          <w:b/>
          <w:sz w:val="22"/>
        </w:rPr>
        <w:t>Anti-Automation</w:t>
      </w:r>
    </w:p>
    <w:p>
      <w:pPr>
        <w:pStyle w:val="ListBullet"/>
        <w:ind w:left="360"/>
      </w:pPr>
      <w:r>
        <w:rPr>
          <w:sz w:val="22"/>
        </w:rPr>
        <w:t>Authentication endpoints must implement rate limiting, account lockout, and bot detection</w:t>
      </w:r>
    </w:p>
    <w:p>
      <w:pPr>
        <w:pStyle w:val="ListBullet"/>
        <w:ind w:left="360"/>
      </w:pPr>
      <w:r>
        <w:rPr>
          <w:sz w:val="22"/>
        </w:rPr>
        <w:t>Credential stuffing and password spray protections must be in place</w:t>
      </w:r>
    </w:p>
    <w:p>
      <w:pPr>
        <w:spacing w:before="240" w:after="80"/>
      </w:pPr>
      <w:r>
        <w:rPr>
          <w:b/>
          <w:sz w:val="24"/>
        </w:rPr>
        <w:t>3.5  Roles and Responsibilities</w:t>
      </w:r>
    </w:p>
    <w:p>
      <w:pPr>
        <w:spacing w:before="80"/>
      </w:pPr>
      <w:r>
        <w:rPr>
          <w:b/>
          <w:sz w:val="22"/>
        </w:rPr>
        <w:t xml:space="preserve">Identity Team: </w:t>
      </w:r>
      <w:r>
        <w:rPr>
          <w:sz w:val="22"/>
        </w:rPr>
        <w:t>Operates the identity provider and authentication infrastructure</w:t>
      </w:r>
    </w:p>
    <w:p>
      <w:pPr>
        <w:spacing w:before="80"/>
      </w:pPr>
      <w:r>
        <w:rPr>
          <w:b/>
          <w:sz w:val="22"/>
        </w:rPr>
        <w:t xml:space="preserve">Application Owners: </w:t>
      </w:r>
      <w:r>
        <w:rPr>
          <w:sz w:val="22"/>
        </w:rPr>
        <w:t>Integrate applications with the corporate identity provider</w:t>
      </w:r>
    </w:p>
    <w:p>
      <w:pPr>
        <w:spacing w:before="80"/>
      </w:pPr>
      <w:r>
        <w:rPr>
          <w:b/>
          <w:sz w:val="22"/>
        </w:rPr>
        <w:t xml:space="preserve">Information Security Manager: </w:t>
      </w:r>
      <w:r>
        <w:rPr>
          <w:sz w:val="22"/>
        </w:rPr>
        <w:t>Defines and updates this standard</w:t>
      </w:r>
    </w:p>
    <w:p>
      <w:pPr>
        <w:spacing w:before="240" w:after="80"/>
      </w:pPr>
      <w:r>
        <w:rPr>
          <w:b/>
          <w:sz w:val="24"/>
        </w:rPr>
        <w:t>3.6  Related Documents</w:t>
      </w:r>
    </w:p>
    <w:p>
      <w:pPr>
        <w:pStyle w:val="ListBullet"/>
        <w:ind w:left="360"/>
      </w:pPr>
      <w:r>
        <w:rPr>
          <w:sz w:val="22"/>
        </w:rPr>
        <w:t>Access Control Policy</w:t>
      </w:r>
    </w:p>
    <w:p>
      <w:pPr>
        <w:pStyle w:val="ListBullet"/>
        <w:ind w:left="360"/>
      </w:pPr>
      <w:r>
        <w:rPr>
          <w:sz w:val="22"/>
        </w:rPr>
        <w:t>Password Policy</w:t>
      </w:r>
    </w:p>
    <w:p>
      <w:pPr>
        <w:pStyle w:val="ListBullet"/>
        <w:ind w:left="360"/>
      </w:pPr>
      <w:r>
        <w:rPr>
          <w:sz w:val="22"/>
        </w:rPr>
        <w:t>Privileged Access Management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5.17 - Authentication information</w:t>
      </w:r>
    </w:p>
    <w:p>
      <w:pPr>
        <w:pStyle w:val="ListBullet"/>
        <w:ind w:left="360"/>
      </w:pPr>
      <w:r>
        <w:rPr>
          <w:sz w:val="22"/>
        </w:rPr>
        <w:t>5.16 - Identity management</w:t>
      </w:r>
    </w:p>
    <w:p>
      <w:pPr>
        <w:pStyle w:val="ListBullet"/>
        <w:ind w:left="360"/>
      </w:pPr>
      <w:r>
        <w:rPr>
          <w:sz w:val="22"/>
        </w:rPr>
        <w:t>8.5 - Secure authentication</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