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APPLICATION SECURITY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Application Security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Application Security Standards</w:t>
      </w:r>
    </w:p>
    <w:p>
      <w:pPr>
        <w:spacing w:before="240" w:after="80"/>
      </w:pPr>
      <w:r>
        <w:rPr>
          <w:b/>
          <w:sz w:val="24"/>
        </w:rPr>
        <w:t>3.1  Purpose</w:t>
      </w:r>
    </w:p>
    <w:p>
      <w:pPr>
        <w:spacing w:before="40" w:after="120" w:line="280" w:lineRule="exact"/>
      </w:pPr>
      <w:r>
        <w:rPr>
          <w:sz w:val="22"/>
        </w:rPr>
        <w:t>This standard defines security requirements for application design, development, testing, and deployment. It is informed by industry guidance such as the OWASP Application Security Verification Standard.</w:t>
      </w:r>
    </w:p>
    <w:p>
      <w:pPr>
        <w:spacing w:before="240" w:after="80"/>
      </w:pPr>
      <w:r>
        <w:rPr>
          <w:b/>
          <w:sz w:val="24"/>
        </w:rPr>
        <w:t>3.2  Scope</w:t>
      </w:r>
    </w:p>
    <w:p>
      <w:pPr>
        <w:spacing w:before="40" w:after="120" w:line="280" w:lineRule="exact"/>
      </w:pPr>
      <w:r>
        <w:rPr>
          <w:sz w:val="22"/>
        </w:rPr>
        <w:t>This standard applies to all applications developed, operated, or consumed by the organisation, including web, mobile, API, and back-office applications.</w:t>
      </w:r>
    </w:p>
    <w:p>
      <w:pPr>
        <w:spacing w:before="240" w:after="80"/>
      </w:pPr>
      <w:r>
        <w:rPr>
          <w:b/>
          <w:sz w:val="24"/>
        </w:rPr>
        <w:t>3.3  Definitions</w:t>
      </w:r>
    </w:p>
    <w:p>
      <w:pPr>
        <w:spacing w:before="60" w:after="60"/>
      </w:pPr>
      <w:r>
        <w:rPr>
          <w:b/>
          <w:sz w:val="22"/>
        </w:rPr>
        <w:t xml:space="preserve">Application: </w:t>
      </w:r>
      <w:r>
        <w:rPr>
          <w:sz w:val="22"/>
        </w:rPr>
        <w:t>A software system that delivers business functionality to users or other systems</w:t>
      </w:r>
    </w:p>
    <w:p>
      <w:pPr>
        <w:spacing w:before="60" w:after="60"/>
      </w:pPr>
      <w:r>
        <w:rPr>
          <w:b/>
          <w:sz w:val="22"/>
        </w:rPr>
        <w:t xml:space="preserve">API: </w:t>
      </w:r>
      <w:r>
        <w:rPr>
          <w:sz w:val="22"/>
        </w:rPr>
        <w:t>An application programming interface enabling programmatic interaction</w:t>
      </w:r>
    </w:p>
    <w:p>
      <w:pPr>
        <w:spacing w:before="60" w:after="60"/>
      </w:pPr>
      <w:r>
        <w:rPr>
          <w:b/>
          <w:sz w:val="22"/>
        </w:rPr>
        <w:t xml:space="preserve">OWASP: </w:t>
      </w:r>
      <w:r>
        <w:rPr>
          <w:sz w:val="22"/>
        </w:rPr>
        <w:t>Open Worldwide Application Security Project, a community providing guidance on application security</w:t>
      </w:r>
    </w:p>
    <w:p>
      <w:pPr>
        <w:spacing w:before="240" w:after="80"/>
      </w:pPr>
      <w:r>
        <w:rPr>
          <w:b/>
          <w:sz w:val="24"/>
        </w:rPr>
        <w:t>3.4  Policy Requirements</w:t>
      </w:r>
    </w:p>
    <w:p>
      <w:pPr>
        <w:spacing w:before="240" w:after="80"/>
      </w:pPr>
      <w:r>
        <w:rPr>
          <w:b/>
          <w:sz w:val="22"/>
        </w:rPr>
        <w:t>Design Requirements</w:t>
      </w:r>
    </w:p>
    <w:p>
      <w:pPr>
        <w:pStyle w:val="ListBullet"/>
        <w:ind w:left="360"/>
      </w:pPr>
      <w:r>
        <w:rPr>
          <w:sz w:val="22"/>
        </w:rPr>
        <w:t>Applications must be designed to fulfil documented security requirements</w:t>
      </w:r>
    </w:p>
    <w:p>
      <w:pPr>
        <w:pStyle w:val="ListBullet"/>
        <w:ind w:left="360"/>
      </w:pPr>
      <w:r>
        <w:rPr>
          <w:sz w:val="22"/>
        </w:rPr>
        <w:t>Threat models must inform design decisions for new applications and significant changes</w:t>
      </w:r>
    </w:p>
    <w:p>
      <w:pPr>
        <w:pStyle w:val="ListBullet"/>
        <w:ind w:left="360"/>
      </w:pPr>
      <w:r>
        <w:rPr>
          <w:sz w:val="22"/>
        </w:rPr>
        <w:t>Trust boundaries must be identified and protected</w:t>
      </w:r>
    </w:p>
    <w:p>
      <w:pPr>
        <w:spacing w:before="240" w:after="80"/>
      </w:pPr>
      <w:r>
        <w:rPr>
          <w:b/>
          <w:sz w:val="22"/>
        </w:rPr>
        <w:t>Authentication and Session</w:t>
      </w:r>
    </w:p>
    <w:p>
      <w:pPr>
        <w:pStyle w:val="ListBullet"/>
        <w:ind w:left="360"/>
      </w:pPr>
      <w:r>
        <w:rPr>
          <w:sz w:val="22"/>
        </w:rPr>
        <w:t>Applications must integrate with the corporate identity provider for authentication</w:t>
      </w:r>
    </w:p>
    <w:p>
      <w:pPr>
        <w:pStyle w:val="ListBullet"/>
        <w:ind w:left="360"/>
      </w:pPr>
      <w:r>
        <w:rPr>
          <w:sz w:val="22"/>
        </w:rPr>
        <w:t>Local credential storage in applications is not permitted unless explicitly approved</w:t>
      </w:r>
    </w:p>
    <w:p>
      <w:pPr>
        <w:pStyle w:val="ListBullet"/>
        <w:ind w:left="360"/>
      </w:pPr>
      <w:r>
        <w:rPr>
          <w:sz w:val="22"/>
        </w:rPr>
        <w:t>Session management must follow Authentication Standards</w:t>
      </w:r>
    </w:p>
    <w:p>
      <w:pPr>
        <w:spacing w:before="240" w:after="80"/>
      </w:pPr>
      <w:r>
        <w:rPr>
          <w:b/>
          <w:sz w:val="22"/>
        </w:rPr>
        <w:t>Authorisation</w:t>
      </w:r>
    </w:p>
    <w:p>
      <w:pPr>
        <w:pStyle w:val="ListBullet"/>
        <w:ind w:left="360"/>
      </w:pPr>
      <w:r>
        <w:rPr>
          <w:sz w:val="22"/>
        </w:rPr>
        <w:t>Authorisation must be enforced server-side at every privileged operation</w:t>
      </w:r>
    </w:p>
    <w:p>
      <w:pPr>
        <w:pStyle w:val="ListBullet"/>
        <w:ind w:left="360"/>
      </w:pPr>
      <w:r>
        <w:rPr>
          <w:sz w:val="22"/>
        </w:rPr>
        <w:t>Authorisation must follow least privilege and prevent insecure direct object references</w:t>
      </w:r>
    </w:p>
    <w:p>
      <w:pPr>
        <w:spacing w:before="240" w:after="80"/>
      </w:pPr>
      <w:r>
        <w:rPr>
          <w:b/>
          <w:sz w:val="22"/>
        </w:rPr>
        <w:t>Input Handling</w:t>
      </w:r>
    </w:p>
    <w:p>
      <w:pPr>
        <w:pStyle w:val="ListBullet"/>
        <w:ind w:left="360"/>
      </w:pPr>
      <w:r>
        <w:rPr>
          <w:sz w:val="22"/>
        </w:rPr>
        <w:t>All input must be validated against allowlists where possible</w:t>
      </w:r>
    </w:p>
    <w:p>
      <w:pPr>
        <w:pStyle w:val="ListBullet"/>
        <w:ind w:left="360"/>
      </w:pPr>
      <w:r>
        <w:rPr>
          <w:sz w:val="22"/>
        </w:rPr>
        <w:t>Output must be encoded for the destination context to prevent injection</w:t>
      </w:r>
    </w:p>
    <w:p>
      <w:pPr>
        <w:pStyle w:val="ListBullet"/>
        <w:ind w:left="360"/>
      </w:pPr>
      <w:r>
        <w:rPr>
          <w:sz w:val="22"/>
        </w:rPr>
        <w:t>Untrusted input must not be passed directly to interpreters or shells</w:t>
      </w:r>
    </w:p>
    <w:p>
      <w:pPr>
        <w:spacing w:before="240" w:after="80"/>
      </w:pPr>
      <w:r>
        <w:rPr>
          <w:b/>
          <w:sz w:val="22"/>
        </w:rPr>
        <w:t>Cryptography in Applications</w:t>
      </w:r>
    </w:p>
    <w:p>
      <w:pPr>
        <w:pStyle w:val="ListBullet"/>
        <w:ind w:left="360"/>
      </w:pPr>
      <w:r>
        <w:rPr>
          <w:sz w:val="22"/>
        </w:rPr>
        <w:t>Use organisationally approved cryptography per the Encryption Standards</w:t>
      </w:r>
    </w:p>
    <w:p>
      <w:pPr>
        <w:pStyle w:val="ListBullet"/>
        <w:ind w:left="360"/>
      </w:pPr>
      <w:r>
        <w:rPr>
          <w:sz w:val="22"/>
        </w:rPr>
        <w:t>Do not roll custom cryptography</w:t>
      </w:r>
    </w:p>
    <w:p>
      <w:pPr>
        <w:pStyle w:val="ListBullet"/>
        <w:ind w:left="360"/>
      </w:pPr>
      <w:r>
        <w:rPr>
          <w:sz w:val="22"/>
        </w:rPr>
        <w:t>Manage secrets through approved secrets management</w:t>
      </w:r>
    </w:p>
    <w:p>
      <w:pPr>
        <w:spacing w:before="240" w:after="80"/>
      </w:pPr>
      <w:r>
        <w:rPr>
          <w:b/>
          <w:sz w:val="22"/>
        </w:rPr>
        <w:t>Logging and Monitoring</w:t>
      </w:r>
    </w:p>
    <w:p>
      <w:pPr>
        <w:pStyle w:val="ListBullet"/>
        <w:ind w:left="360"/>
      </w:pPr>
      <w:r>
        <w:rPr>
          <w:sz w:val="22"/>
        </w:rPr>
        <w:t>Security-relevant events must be logged with sufficient detail for investigation</w:t>
      </w:r>
    </w:p>
    <w:p>
      <w:pPr>
        <w:pStyle w:val="ListBullet"/>
        <w:ind w:left="360"/>
      </w:pPr>
      <w:r>
        <w:rPr>
          <w:sz w:val="22"/>
        </w:rPr>
        <w:t>Logs must not contain sensitive data such as credentials or full payment card numbers</w:t>
      </w:r>
    </w:p>
    <w:p>
      <w:pPr>
        <w:pStyle w:val="ListBullet"/>
        <w:ind w:left="360"/>
      </w:pPr>
      <w:r>
        <w:rPr>
          <w:sz w:val="22"/>
        </w:rPr>
        <w:t>Logs must be forwarded to the central logging platform</w:t>
      </w:r>
    </w:p>
    <w:p>
      <w:pPr>
        <w:spacing w:before="240" w:after="80"/>
      </w:pPr>
      <w:r>
        <w:rPr>
          <w:b/>
          <w:sz w:val="22"/>
        </w:rPr>
        <w:t>APIs</w:t>
      </w:r>
    </w:p>
    <w:p>
      <w:pPr>
        <w:pStyle w:val="ListBullet"/>
        <w:ind w:left="360"/>
      </w:pPr>
      <w:r>
        <w:rPr>
          <w:sz w:val="22"/>
        </w:rPr>
        <w:t>APIs must require authentication for non-public operations</w:t>
      </w:r>
    </w:p>
    <w:p>
      <w:pPr>
        <w:pStyle w:val="ListBullet"/>
        <w:ind w:left="360"/>
      </w:pPr>
      <w:r>
        <w:rPr>
          <w:sz w:val="22"/>
        </w:rPr>
        <w:t>Rate limiting and abuse protections must be implemented</w:t>
      </w:r>
    </w:p>
    <w:p>
      <w:pPr>
        <w:pStyle w:val="ListBullet"/>
        <w:ind w:left="360"/>
      </w:pPr>
      <w:r>
        <w:rPr>
          <w:sz w:val="22"/>
        </w:rPr>
        <w:t>API contracts must be documented and versioned</w:t>
      </w:r>
    </w:p>
    <w:p>
      <w:pPr>
        <w:spacing w:before="240" w:after="80"/>
      </w:pPr>
      <w:r>
        <w:rPr>
          <w:b/>
          <w:sz w:val="22"/>
        </w:rPr>
        <w:t>Mobile Applications</w:t>
      </w:r>
    </w:p>
    <w:p>
      <w:pPr>
        <w:pStyle w:val="ListBullet"/>
        <w:ind w:left="360"/>
      </w:pPr>
      <w:r>
        <w:rPr>
          <w:sz w:val="22"/>
        </w:rPr>
        <w:t>Mobile apps must protect data in transit and at rest on the device</w:t>
      </w:r>
    </w:p>
    <w:p>
      <w:pPr>
        <w:pStyle w:val="ListBullet"/>
        <w:ind w:left="360"/>
      </w:pPr>
      <w:r>
        <w:rPr>
          <w:sz w:val="22"/>
        </w:rPr>
        <w:t>Apps must integrate with the Mobile Device Security Policy where applicable</w:t>
      </w:r>
    </w:p>
    <w:p>
      <w:pPr>
        <w:spacing w:before="240" w:after="80"/>
      </w:pPr>
      <w:r>
        <w:rPr>
          <w:b/>
          <w:sz w:val="22"/>
        </w:rPr>
        <w:t>Testing</w:t>
      </w:r>
    </w:p>
    <w:p>
      <w:pPr>
        <w:pStyle w:val="ListBullet"/>
        <w:ind w:left="360"/>
      </w:pPr>
      <w:r>
        <w:rPr>
          <w:sz w:val="22"/>
        </w:rPr>
        <w:t>Applications must undergo SAST, DAST, SCA, and penetration testing as appropriate</w:t>
      </w:r>
    </w:p>
    <w:p>
      <w:pPr>
        <w:pStyle w:val="ListBullet"/>
        <w:ind w:left="360"/>
      </w:pPr>
      <w:r>
        <w:rPr>
          <w:sz w:val="22"/>
        </w:rPr>
        <w:t>Findings must be triaged and remediated per the Vulnerability Management Workflow</w:t>
      </w:r>
    </w:p>
    <w:p>
      <w:pPr>
        <w:spacing w:before="240" w:after="80"/>
      </w:pPr>
      <w:r>
        <w:rPr>
          <w:b/>
          <w:sz w:val="24"/>
        </w:rPr>
        <w:t>3.5  Roles and Responsibilities</w:t>
      </w:r>
    </w:p>
    <w:p>
      <w:pPr>
        <w:spacing w:before="80"/>
      </w:pPr>
      <w:r>
        <w:rPr>
          <w:b/>
          <w:sz w:val="22"/>
        </w:rPr>
        <w:t xml:space="preserve">Application Owner: </w:t>
      </w:r>
      <w:r>
        <w:rPr>
          <w:sz w:val="22"/>
        </w:rPr>
        <w:t>Accountable for application security outcomes</w:t>
      </w:r>
    </w:p>
    <w:p>
      <w:pPr>
        <w:spacing w:before="80"/>
      </w:pPr>
      <w:r>
        <w:rPr>
          <w:b/>
          <w:sz w:val="22"/>
        </w:rPr>
        <w:t xml:space="preserve">Development Teams: </w:t>
      </w:r>
      <w:r>
        <w:rPr>
          <w:sz w:val="22"/>
        </w:rPr>
        <w:t>Implement applications in line with this standard</w:t>
      </w:r>
    </w:p>
    <w:p>
      <w:pPr>
        <w:spacing w:before="80"/>
      </w:pPr>
      <w:r>
        <w:rPr>
          <w:b/>
          <w:sz w:val="22"/>
        </w:rPr>
        <w:t xml:space="preserve">Application Security Lead: </w:t>
      </w:r>
      <w:r>
        <w:rPr>
          <w:sz w:val="22"/>
        </w:rPr>
        <w:t>Provides expertise and reviews compliance</w:t>
      </w:r>
    </w:p>
    <w:p>
      <w:pPr>
        <w:spacing w:before="240" w:after="80"/>
      </w:pPr>
      <w:r>
        <w:rPr>
          <w:b/>
          <w:sz w:val="24"/>
        </w:rPr>
        <w:t>3.6  Related Documents</w:t>
      </w:r>
    </w:p>
    <w:p>
      <w:pPr>
        <w:pStyle w:val="ListBullet"/>
        <w:ind w:left="360"/>
      </w:pPr>
      <w:r>
        <w:rPr>
          <w:sz w:val="22"/>
        </w:rPr>
        <w:t>Secure Development Standards</w:t>
      </w:r>
    </w:p>
    <w:p>
      <w:pPr>
        <w:pStyle w:val="ListBullet"/>
        <w:ind w:left="360"/>
      </w:pPr>
      <w:r>
        <w:rPr>
          <w:sz w:val="22"/>
        </w:rPr>
        <w:t>Secure Coding Standards</w:t>
      </w:r>
    </w:p>
    <w:p>
      <w:pPr>
        <w:pStyle w:val="ListBullet"/>
        <w:ind w:left="360"/>
      </w:pPr>
      <w:r>
        <w:rPr>
          <w:sz w:val="22"/>
        </w:rPr>
        <w:t>SAST/DAST Testing Checklist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8.26 - Application security requirements</w:t>
      </w:r>
    </w:p>
    <w:p>
      <w:pPr>
        <w:pStyle w:val="ListBullet"/>
        <w:ind w:left="360"/>
      </w:pPr>
      <w:r>
        <w:rPr>
          <w:sz w:val="22"/>
        </w:rPr>
        <w:t>8.27 - Secure system architecture and engineering principles</w:t>
      </w:r>
    </w:p>
    <w:p>
      <w:pPr>
        <w:pStyle w:val="ListBullet"/>
        <w:ind w:left="360"/>
      </w:pPr>
      <w:r>
        <w:rPr>
          <w:sz w:val="22"/>
        </w:rPr>
        <w:t>8.29 - Security testing in development and acceptance</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