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VULNERABILITY MANAGEMENT WORKFLOW</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Vulnerability Management Workflow</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Vulnerability Management Workflow</w:t>
      </w:r>
    </w:p>
    <w:p>
      <w:pPr>
        <w:spacing w:before="240" w:after="80"/>
      </w:pPr>
      <w:r>
        <w:rPr>
          <w:b/>
          <w:sz w:val="24"/>
        </w:rPr>
        <w:t>3.1  Purpose</w:t>
      </w:r>
    </w:p>
    <w:p>
      <w:pPr>
        <w:spacing w:before="40" w:after="120" w:line="280" w:lineRule="exact"/>
      </w:pPr>
      <w:r>
        <w:rPr>
          <w:sz w:val="22"/>
        </w:rPr>
        <w:t>This procedure defines the end-to-end workflow for identifying, assessing, prioritising, remediating, and tracking technical vulnerabilities affecting the organisation's information systems. It ensures that vulnerabilities are addressed within risk-based timescales.</w:t>
      </w:r>
    </w:p>
    <w:p>
      <w:pPr>
        <w:spacing w:before="240" w:after="80"/>
      </w:pPr>
      <w:r>
        <w:rPr>
          <w:b/>
          <w:sz w:val="24"/>
        </w:rPr>
        <w:t>3.2  Scope</w:t>
      </w:r>
    </w:p>
    <w:p>
      <w:pPr>
        <w:spacing w:before="40" w:after="120" w:line="280" w:lineRule="exact"/>
      </w:pPr>
      <w:r>
        <w:rPr>
          <w:sz w:val="22"/>
        </w:rPr>
        <w:t>This procedure applies to all information systems including servers, workstations, network devices, applications, containers, and cloud workloads owned or operated by the organisation.</w:t>
      </w:r>
    </w:p>
    <w:p>
      <w:pPr>
        <w:spacing w:before="240" w:after="80"/>
      </w:pPr>
      <w:r>
        <w:rPr>
          <w:b/>
          <w:sz w:val="24"/>
        </w:rPr>
        <w:t>3.3  Pre-requisites</w:t>
      </w:r>
    </w:p>
    <w:p>
      <w:pPr>
        <w:pStyle w:val="ListBullet"/>
        <w:ind w:left="360"/>
      </w:pPr>
      <w:r>
        <w:rPr>
          <w:sz w:val="22"/>
        </w:rPr>
        <w:t>Asset inventory including criticality and exposure ratings</w:t>
      </w:r>
    </w:p>
    <w:p>
      <w:pPr>
        <w:pStyle w:val="ListBullet"/>
        <w:ind w:left="360"/>
      </w:pPr>
      <w:r>
        <w:rPr>
          <w:sz w:val="22"/>
        </w:rPr>
        <w:t>Vulnerability scanning tooling configured to cover the asset estate</w:t>
      </w:r>
    </w:p>
    <w:p>
      <w:pPr>
        <w:pStyle w:val="ListBullet"/>
        <w:ind w:left="360"/>
      </w:pPr>
      <w:r>
        <w:rPr>
          <w:sz w:val="22"/>
        </w:rPr>
        <w:t>Threat intelligence feeds for emerging vulnerabilities</w:t>
      </w:r>
    </w:p>
    <w:p>
      <w:pPr>
        <w:pStyle w:val="ListBullet"/>
        <w:ind w:left="360"/>
      </w:pPr>
      <w:r>
        <w:rPr>
          <w:sz w:val="22"/>
        </w:rPr>
        <w:t>Defined remediation service-level agreements based on severity</w:t>
      </w:r>
    </w:p>
    <w:p>
      <w:pPr>
        <w:spacing w:before="240" w:after="80"/>
      </w:pPr>
      <w:r>
        <w:rPr>
          <w:b/>
          <w:sz w:val="24"/>
        </w:rPr>
        <w:t>3.4  Procedure</w:t>
      </w:r>
    </w:p>
    <w:p>
      <w:pPr>
        <w:spacing w:before="240" w:after="80"/>
      </w:pPr>
      <w:r>
        <w:rPr>
          <w:b/>
          <w:sz w:val="22"/>
        </w:rPr>
        <w:t>3.4.1  Discover Vulnerabilities</w:t>
      </w:r>
    </w:p>
    <w:p>
      <w:pPr>
        <w:pStyle w:val="ListBullet"/>
        <w:ind w:left="360"/>
      </w:pPr>
      <w:r>
        <w:rPr>
          <w:sz w:val="22"/>
        </w:rPr>
        <w:t>Run authenticated vulnerability scans on a defined cadence appropriate to system criticality</w:t>
      </w:r>
    </w:p>
    <w:p>
      <w:pPr>
        <w:pStyle w:val="ListBullet"/>
        <w:ind w:left="360"/>
      </w:pPr>
      <w:r>
        <w:rPr>
          <w:sz w:val="22"/>
        </w:rPr>
        <w:t>Subscribe to vendor and threat intelligence advisories</w:t>
      </w:r>
    </w:p>
    <w:p>
      <w:pPr>
        <w:pStyle w:val="ListBullet"/>
        <w:ind w:left="360"/>
      </w:pPr>
      <w:r>
        <w:rPr>
          <w:sz w:val="22"/>
        </w:rPr>
        <w:t>Receive vulnerability reports from internal teams, penetration tests, and bug bounty channels</w:t>
      </w:r>
    </w:p>
    <w:p>
      <w:pPr>
        <w:spacing w:before="240" w:after="80"/>
      </w:pPr>
      <w:r>
        <w:rPr>
          <w:b/>
          <w:sz w:val="22"/>
        </w:rPr>
        <w:t>3.4.2  Triage and Validate</w:t>
      </w:r>
    </w:p>
    <w:p>
      <w:pPr>
        <w:pStyle w:val="ListBullet"/>
        <w:ind w:left="360"/>
      </w:pPr>
      <w:r>
        <w:rPr>
          <w:sz w:val="22"/>
        </w:rPr>
        <w:t>Validate scanner findings to filter out false positives</w:t>
      </w:r>
    </w:p>
    <w:p>
      <w:pPr>
        <w:pStyle w:val="ListBullet"/>
        <w:ind w:left="360"/>
      </w:pPr>
      <w:r>
        <w:rPr>
          <w:sz w:val="22"/>
        </w:rPr>
        <w:t>Confirm the vulnerability is exploitable in the organisation's environment</w:t>
      </w:r>
    </w:p>
    <w:p>
      <w:pPr>
        <w:pStyle w:val="ListBullet"/>
        <w:ind w:left="360"/>
      </w:pPr>
      <w:r>
        <w:rPr>
          <w:sz w:val="22"/>
        </w:rPr>
        <w:t>Map findings to affected assets, owners, and business impact</w:t>
      </w:r>
    </w:p>
    <w:p>
      <w:pPr>
        <w:spacing w:before="240" w:after="80"/>
      </w:pPr>
      <w:r>
        <w:rPr>
          <w:b/>
          <w:sz w:val="22"/>
        </w:rPr>
        <w:t>3.4.3  Prioritise</w:t>
      </w:r>
    </w:p>
    <w:p>
      <w:pPr>
        <w:pStyle w:val="ListBullet"/>
        <w:ind w:left="360"/>
      </w:pPr>
      <w:r>
        <w:rPr>
          <w:sz w:val="22"/>
        </w:rPr>
        <w:t>Use a risk-based scoring approach combining severity, exploitability, asset criticality, and exposure</w:t>
      </w:r>
    </w:p>
    <w:p>
      <w:pPr>
        <w:pStyle w:val="ListBullet"/>
        <w:ind w:left="360"/>
      </w:pPr>
      <w:r>
        <w:rPr>
          <w:sz w:val="22"/>
        </w:rPr>
        <w:t>Critical and high vulnerabilities affecting internet-facing or sensitive systems take precedence</w:t>
      </w:r>
    </w:p>
    <w:p>
      <w:pPr>
        <w:spacing w:before="240" w:after="80"/>
      </w:pPr>
      <w:r>
        <w:rPr>
          <w:b/>
          <w:sz w:val="22"/>
        </w:rPr>
        <w:t>3.4.4  Plan Remediation</w:t>
      </w:r>
    </w:p>
    <w:p>
      <w:pPr>
        <w:pStyle w:val="ListBullet"/>
        <w:ind w:left="360"/>
      </w:pPr>
      <w:r>
        <w:rPr>
          <w:sz w:val="22"/>
        </w:rPr>
        <w:t>Assign owners and target dates based on remediation SLAs</w:t>
      </w:r>
    </w:p>
    <w:p>
      <w:pPr>
        <w:pStyle w:val="ListBullet"/>
        <w:ind w:left="360"/>
      </w:pPr>
      <w:r>
        <w:rPr>
          <w:sz w:val="22"/>
        </w:rPr>
        <w:t>Identify the remediation approach: patch, configuration change, compensating control, or risk acceptance</w:t>
      </w:r>
    </w:p>
    <w:p>
      <w:pPr>
        <w:pStyle w:val="ListBullet"/>
        <w:ind w:left="360"/>
      </w:pPr>
      <w:r>
        <w:rPr>
          <w:sz w:val="22"/>
        </w:rPr>
        <w:t>Schedule remediation through change management where required</w:t>
      </w:r>
    </w:p>
    <w:p>
      <w:pPr>
        <w:spacing w:before="240" w:after="80"/>
      </w:pPr>
      <w:r>
        <w:rPr>
          <w:b/>
          <w:sz w:val="22"/>
        </w:rPr>
        <w:t>3.4.5  Implement and Verify</w:t>
      </w:r>
    </w:p>
    <w:p>
      <w:pPr>
        <w:pStyle w:val="ListBullet"/>
        <w:ind w:left="360"/>
      </w:pPr>
      <w:r>
        <w:rPr>
          <w:sz w:val="22"/>
        </w:rPr>
        <w:t>Apply remediation in line with change management</w:t>
      </w:r>
    </w:p>
    <w:p>
      <w:pPr>
        <w:pStyle w:val="ListBullet"/>
        <w:ind w:left="360"/>
      </w:pPr>
      <w:r>
        <w:rPr>
          <w:sz w:val="22"/>
        </w:rPr>
        <w:t>Re-scan or otherwise verify that the vulnerability has been resolved</w:t>
      </w:r>
    </w:p>
    <w:p>
      <w:pPr>
        <w:pStyle w:val="ListBullet"/>
        <w:ind w:left="360"/>
      </w:pPr>
      <w:r>
        <w:rPr>
          <w:sz w:val="22"/>
        </w:rPr>
        <w:t>Update the vulnerability tracking record</w:t>
      </w:r>
    </w:p>
    <w:p>
      <w:pPr>
        <w:spacing w:before="240" w:after="80"/>
      </w:pPr>
      <w:r>
        <w:rPr>
          <w:b/>
          <w:sz w:val="22"/>
        </w:rPr>
        <w:t>3.4.6  Report and Improve</w:t>
      </w:r>
    </w:p>
    <w:p>
      <w:pPr>
        <w:pStyle w:val="ListBullet"/>
        <w:ind w:left="360"/>
      </w:pPr>
      <w:r>
        <w:rPr>
          <w:sz w:val="22"/>
        </w:rPr>
        <w:t>Report vulnerability metrics to the Information Security Manager and management</w:t>
      </w:r>
    </w:p>
    <w:p>
      <w:pPr>
        <w:pStyle w:val="ListBullet"/>
        <w:ind w:left="360"/>
      </w:pPr>
      <w:r>
        <w:rPr>
          <w:sz w:val="22"/>
        </w:rPr>
        <w:t>Identify trends and root causes and feed into hardening, training, and architectural improvements</w:t>
      </w:r>
    </w:p>
    <w:p>
      <w:pPr>
        <w:spacing w:before="240" w:after="80"/>
      </w:pPr>
      <w:r>
        <w:rPr>
          <w:b/>
          <w:sz w:val="24"/>
        </w:rPr>
        <w:t>3.5  Records and Evidence</w:t>
      </w:r>
    </w:p>
    <w:p>
      <w:pPr>
        <w:pStyle w:val="ListBullet"/>
        <w:ind w:left="360"/>
      </w:pPr>
      <w:r>
        <w:rPr>
          <w:sz w:val="22"/>
        </w:rPr>
        <w:t>Vulnerability scan reports</w:t>
      </w:r>
    </w:p>
    <w:p>
      <w:pPr>
        <w:pStyle w:val="ListBullet"/>
        <w:ind w:left="360"/>
      </w:pPr>
      <w:r>
        <w:rPr>
          <w:sz w:val="22"/>
        </w:rPr>
        <w:t>Vulnerability tracking register</w:t>
      </w:r>
    </w:p>
    <w:p>
      <w:pPr>
        <w:pStyle w:val="ListBullet"/>
        <w:ind w:left="360"/>
      </w:pPr>
      <w:r>
        <w:rPr>
          <w:sz w:val="22"/>
        </w:rPr>
        <w:t>Risk acceptance records for vulnerabilities not remediated</w:t>
      </w:r>
    </w:p>
    <w:p>
      <w:pPr>
        <w:pStyle w:val="ListBullet"/>
        <w:ind w:left="360"/>
      </w:pPr>
      <w:r>
        <w:rPr>
          <w:sz w:val="22"/>
        </w:rPr>
        <w:t>Vulnerability metrics dashboards</w:t>
      </w:r>
    </w:p>
    <w:p>
      <w:pPr>
        <w:spacing w:before="240" w:after="80"/>
      </w:pPr>
      <w:r>
        <w:rPr>
          <w:b/>
          <w:sz w:val="24"/>
        </w:rPr>
        <w:t>3.6  Related Documents</w:t>
      </w:r>
    </w:p>
    <w:p>
      <w:pPr>
        <w:pStyle w:val="ListBullet"/>
        <w:ind w:left="360"/>
      </w:pPr>
      <w:r>
        <w:rPr>
          <w:sz w:val="22"/>
        </w:rPr>
        <w:t>Information System Protection Policy</w:t>
      </w:r>
    </w:p>
    <w:p>
      <w:pPr>
        <w:pStyle w:val="ListBullet"/>
        <w:ind w:left="360"/>
      </w:pPr>
      <w:r>
        <w:rPr>
          <w:sz w:val="22"/>
        </w:rPr>
        <w:t>Patch Management Policy</w:t>
      </w:r>
    </w:p>
    <w:p>
      <w:pPr>
        <w:pStyle w:val="ListBullet"/>
        <w:ind w:left="360"/>
      </w:pPr>
      <w:r>
        <w:rPr>
          <w:sz w:val="22"/>
        </w:rPr>
        <w:t>Change Management Policy</w:t>
      </w:r>
    </w:p>
    <w:p>
      <w:pPr>
        <w:pStyle w:val="ListBullet"/>
        <w:ind w:left="360"/>
      </w:pPr>
      <w:r>
        <w:rPr>
          <w:sz w:val="22"/>
        </w:rPr>
        <w:t>Risk Assessment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8.8 - Management of technical vulnerabilities</w:t>
      </w:r>
    </w:p>
    <w:p>
      <w:pPr>
        <w:pStyle w:val="ListBullet"/>
        <w:ind w:left="360"/>
      </w:pPr>
      <w:r>
        <w:rPr>
          <w:sz w:val="22"/>
        </w:rPr>
        <w:t>8.9 - Configuration management</w:t>
      </w:r>
    </w:p>
    <w:p>
      <w:pPr>
        <w:pStyle w:val="ListBullet"/>
        <w:ind w:left="360"/>
      </w:pPr>
      <w:r>
        <w:rPr>
          <w:sz w:val="22"/>
        </w:rPr>
        <w:t>5.7 - Threat intelligence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