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800"/>
        <w:jc w:val="center"/>
      </w:pPr>
      <w:r>
        <w:rPr>
          <w:b/>
          <w:color w:val="1F3864"/>
          <w:sz w:val="28"/>
        </w:rPr>
        <w:t>[Company]</w:t>
      </w:r>
    </w:p>
    <w:p>
      <w:pPr>
        <w:spacing w:before="600"/>
        <w:jc w:val="center"/>
      </w:pPr>
      <w:r>
        <w:rPr>
          <w:b/>
          <w:sz w:val="56"/>
        </w:rPr>
        <w:t>THIRD-PARTY COMMUNICATION PROCEDURE</w:t>
      </w:r>
    </w:p>
    <w:p>
      <w:pPr>
        <w:spacing w:before="320"/>
        <w:jc w:val="center"/>
      </w:pPr>
      <w:r>
        <w:rPr>
          <w:color w:val="444444"/>
          <w:sz w:val="22"/>
        </w:rPr>
        <w:t>Classification: Internal   |   Version: [Version]</w:t>
      </w:r>
    </w:p>
    <w:p>
      <w:pPr>
        <w:spacing w:before="160"/>
        <w:jc w:val="center"/>
      </w:pPr>
      <w:r>
        <w:rPr>
          <w:color w:val="666666"/>
          <w:sz w:val="20"/>
        </w:rPr>
        <w:t>Last Reviewed: [Date]   |   Document Owner: [Owner]</w:t>
      </w:r>
    </w:p>
    <w:p>
      <w:r>
        <w:br w:type="page"/>
      </w:r>
    </w:p>
    <w:p>
      <w:pPr>
        <w:spacing w:before="240" w:after="80"/>
      </w:pPr>
      <w:r>
        <w:rPr>
          <w:b/>
          <w:sz w:val="26"/>
        </w:rPr>
        <w:t>1  Document Version Control</w:t>
      </w:r>
    </w:p>
    <w:tbl>
      <w:tblPr>
        <w:tblStyle w:val="TableGrid"/>
        <w:tblW w:type="auto" w:w="0"/>
        <w:tblLook w:firstColumn="1" w:firstRow="1" w:lastColumn="0" w:lastRow="0" w:noHBand="0" w:noVBand="1" w:val="04A0"/>
      </w:tblPr>
      <w:tblGrid>
        <w:gridCol w:w="2196"/>
        <w:gridCol w:w="2196"/>
        <w:gridCol w:w="2196"/>
        <w:gridCol w:w="2196"/>
      </w:tblGrid>
      <w:tr>
        <w:tc>
          <w:tcPr>
            <w:tcW w:type="dxa" w:w="2196"/>
            <w:shd w:fill="1F3864" w:color="FFFFFF"/>
          </w:tcPr>
          <w:p>
            <w:r>
              <w:rPr>
                <w:b/>
                <w:color w:val="FFFFFF"/>
                <w:sz w:val="20"/>
              </w:rPr>
              <w:t>Version</w:t>
            </w:r>
          </w:p>
        </w:tc>
        <w:tc>
          <w:tcPr>
            <w:tcW w:type="dxa" w:w="2196"/>
            <w:shd w:fill="1F3864" w:color="FFFFFF"/>
          </w:tcPr>
          <w:p>
            <w:r>
              <w:rPr>
                <w:b/>
                <w:color w:val="FFFFFF"/>
                <w:sz w:val="20"/>
              </w:rPr>
              <w:t>Last Modified</w:t>
            </w:r>
          </w:p>
        </w:tc>
        <w:tc>
          <w:tcPr>
            <w:tcW w:type="dxa" w:w="2196"/>
            <w:shd w:fill="1F3864" w:color="FFFFFF"/>
          </w:tcPr>
          <w:p>
            <w:r>
              <w:rPr>
                <w:b/>
                <w:color w:val="FFFFFF"/>
                <w:sz w:val="20"/>
              </w:rPr>
              <w:t>Modified By</w:t>
            </w:r>
          </w:p>
        </w:tc>
        <w:tc>
          <w:tcPr>
            <w:tcW w:type="dxa" w:w="2196"/>
            <w:shd w:fill="1F3864" w:color="FFFFFF"/>
          </w:tcPr>
          <w:p>
            <w:r>
              <w:rPr>
                <w:b/>
                <w:color w:val="FFFFFF"/>
                <w:sz w:val="20"/>
              </w:rPr>
              <w:t>Document Changes</w:t>
            </w:r>
          </w:p>
        </w:tc>
      </w:tr>
      <w:tr>
        <w:tc>
          <w:tcPr>
            <w:tcW w:type="dxa" w:w="2196"/>
          </w:tcPr>
          <w:p>
            <w:r>
              <w:rPr>
                <w:sz w:val="20"/>
              </w:rPr>
              <w:t>0.1</w:t>
            </w:r>
          </w:p>
        </w:tc>
        <w:tc>
          <w:tcPr>
            <w:tcW w:type="dxa" w:w="2196"/>
          </w:tcPr>
          <w:p>
            <w:r>
              <w:rPr>
                <w:sz w:val="20"/>
              </w:rPr>
              <w:t>[Date]</w:t>
            </w:r>
          </w:p>
        </w:tc>
        <w:tc>
          <w:tcPr>
            <w:tcW w:type="dxa" w:w="2196"/>
          </w:tcPr>
          <w:p>
            <w:r>
              <w:rPr>
                <w:sz w:val="20"/>
              </w:rPr>
            </w:r>
          </w:p>
        </w:tc>
        <w:tc>
          <w:tcPr>
            <w:tcW w:type="dxa" w:w="2196"/>
          </w:tcPr>
          <w:p>
            <w:r>
              <w:rPr>
                <w:sz w:val="20"/>
              </w:rPr>
              <w:t>Document first created</w:t>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r>
        <w:tc>
          <w:tcPr>
            <w:tcW w:type="dxa" w:w="2196"/>
          </w:tcPr>
          <w:p>
            <w:r>
              <w:rPr>
                <w:sz w:val="20"/>
              </w:rPr>
            </w:r>
          </w:p>
        </w:tc>
        <w:tc>
          <w:tcPr>
            <w:tcW w:type="dxa" w:w="2196"/>
          </w:tcPr>
          <w:p>
            <w:r>
              <w:rPr>
                <w:sz w:val="20"/>
              </w:rPr>
            </w:r>
          </w:p>
        </w:tc>
        <w:tc>
          <w:tcPr>
            <w:tcW w:type="dxa" w:w="2196"/>
          </w:tcPr>
          <w:p>
            <w:r>
              <w:rPr>
                <w:sz w:val="20"/>
              </w:rPr>
            </w:r>
          </w:p>
        </w:tc>
        <w:tc>
          <w:tcPr>
            <w:tcW w:type="dxa" w:w="2196"/>
          </w:tcPr>
          <w:p>
            <w:r>
              <w:rPr>
                <w:sz w:val="20"/>
              </w:rPr>
            </w:r>
          </w:p>
        </w:tc>
      </w:tr>
    </w:tbl>
    <w:p/>
    <w:p>
      <w:pPr>
        <w:spacing w:before="240" w:after="80"/>
      </w:pPr>
      <w:r>
        <w:rPr>
          <w:b/>
          <w:sz w:val="26"/>
        </w:rPr>
        <w:t>2  Document Contents Page</w:t>
      </w:r>
    </w:p>
    <w:p>
      <w:pPr>
        <w:spacing w:before="60" w:after="60"/>
      </w:pPr>
      <w:r>
        <w:rPr>
          <w:sz w:val="22"/>
        </w:rPr>
        <w:t>1   Document Version Control</w:t>
      </w:r>
      <w:r>
        <w:tab/>
        <w:t>2</w:t>
      </w:r>
    </w:p>
    <w:p>
      <w:pPr>
        <w:spacing w:before="60" w:after="60"/>
      </w:pPr>
      <w:r>
        <w:rPr>
          <w:sz w:val="22"/>
        </w:rPr>
        <w:t>2   Document Contents Page</w:t>
      </w:r>
      <w:r>
        <w:tab/>
        <w:t>3</w:t>
      </w:r>
    </w:p>
    <w:p>
      <w:pPr>
        <w:spacing w:before="60" w:after="60"/>
      </w:pPr>
      <w:r>
        <w:rPr>
          <w:sz w:val="22"/>
        </w:rPr>
        <w:t>3   Third-Party Communication Procedure</w:t>
      </w:r>
      <w:r>
        <w:tab/>
        <w:t>5</w:t>
      </w:r>
    </w:p>
    <w:p>
      <w:pPr>
        <w:spacing w:before="60" w:after="60"/>
      </w:pPr>
      <w:r>
        <w:rPr>
          <w:sz w:val="22"/>
        </w:rPr>
        <w:t>3.1   Purpose</w:t>
      </w:r>
      <w:r>
        <w:tab/>
        <w:t>5</w:t>
      </w:r>
    </w:p>
    <w:p>
      <w:pPr>
        <w:spacing w:before="60" w:after="60"/>
      </w:pPr>
      <w:r>
        <w:rPr>
          <w:sz w:val="22"/>
        </w:rPr>
        <w:t>3.2   Scope</w:t>
      </w:r>
      <w:r>
        <w:tab/>
        <w:t>5</w:t>
      </w:r>
    </w:p>
    <w:p>
      <w:pPr>
        <w:spacing w:before="60" w:after="60"/>
      </w:pPr>
      <w:r>
        <w:rPr>
          <w:sz w:val="22"/>
        </w:rPr>
        <w:t>3.3   Pre-requisites</w:t>
      </w:r>
      <w:r>
        <w:tab/>
        <w:t>5</w:t>
      </w:r>
    </w:p>
    <w:p>
      <w:pPr>
        <w:spacing w:before="60" w:after="60"/>
      </w:pPr>
      <w:r>
        <w:rPr>
          <w:sz w:val="22"/>
        </w:rPr>
        <w:t>3.4   Procedure</w:t>
      </w:r>
      <w:r>
        <w:tab/>
        <w:t>6</w:t>
      </w:r>
    </w:p>
    <w:p>
      <w:pPr>
        <w:spacing w:before="60" w:after="60"/>
      </w:pPr>
      <w:r>
        <w:rPr>
          <w:sz w:val="22"/>
        </w:rPr>
        <w:t>3.5   Records and Evidence</w:t>
      </w:r>
      <w:r>
        <w:tab/>
        <w:t>9</w:t>
      </w:r>
    </w:p>
    <w:p>
      <w:pPr>
        <w:spacing w:before="60" w:after="60"/>
      </w:pPr>
      <w:r>
        <w:rPr>
          <w:sz w:val="22"/>
        </w:rPr>
        <w:t>3.6   Related Documents</w:t>
      </w:r>
      <w:r>
        <w:tab/>
        <w:t>10</w:t>
      </w:r>
    </w:p>
    <w:p>
      <w:pPr>
        <w:spacing w:before="60" w:after="60"/>
      </w:pPr>
      <w:r>
        <w:rPr>
          <w:sz w:val="22"/>
        </w:rPr>
        <w:t>4   Policy Compliance</w:t>
      </w:r>
      <w:r>
        <w:tab/>
        <w:t>11</w:t>
      </w:r>
    </w:p>
    <w:p>
      <w:pPr>
        <w:spacing w:before="60" w:after="60"/>
      </w:pPr>
      <w:r>
        <w:rPr>
          <w:sz w:val="22"/>
        </w:rPr>
        <w:t>5   ISO 27001:2022 Controls Addressed</w:t>
      </w:r>
      <w:r>
        <w:tab/>
        <w:t>12</w:t>
      </w:r>
    </w:p>
    <w:p/>
    <w:p>
      <w:pPr>
        <w:spacing w:before="240" w:after="80"/>
      </w:pPr>
      <w:r>
        <w:rPr>
          <w:b/>
          <w:sz w:val="26"/>
        </w:rPr>
        <w:t>3  Third-Party Communication Procedure</w:t>
      </w:r>
    </w:p>
    <w:p>
      <w:pPr>
        <w:spacing w:before="240" w:after="80"/>
      </w:pPr>
      <w:r>
        <w:rPr>
          <w:b/>
          <w:sz w:val="24"/>
        </w:rPr>
        <w:t>3.1  Purpose</w:t>
      </w:r>
    </w:p>
    <w:p>
      <w:pPr>
        <w:spacing w:before="40" w:after="120" w:line="280" w:lineRule="exact"/>
      </w:pPr>
      <w:r>
        <w:rPr>
          <w:sz w:val="22"/>
        </w:rPr>
        <w:t>This procedure defines how the organisation communicates security requirements, incidents, and changes to and from third parties such as suppliers, customers, and regulatory authorities. It ensures that communications are timely, accurate, authorised, and recorded.</w:t>
      </w:r>
    </w:p>
    <w:p>
      <w:pPr>
        <w:spacing w:before="240" w:after="80"/>
      </w:pPr>
      <w:r>
        <w:rPr>
          <w:b/>
          <w:sz w:val="24"/>
        </w:rPr>
        <w:t>3.2  Scope</w:t>
      </w:r>
    </w:p>
    <w:p>
      <w:pPr>
        <w:spacing w:before="40" w:after="120" w:line="280" w:lineRule="exact"/>
      </w:pPr>
      <w:r>
        <w:rPr>
          <w:sz w:val="22"/>
        </w:rPr>
        <w:t>This procedure applies to all formal security communications between the organisation and third parties. It applies to all employees and contractors who interact with third parties on security matters.</w:t>
      </w:r>
    </w:p>
    <w:p>
      <w:pPr>
        <w:spacing w:before="240" w:after="80"/>
      </w:pPr>
      <w:r>
        <w:rPr>
          <w:b/>
          <w:sz w:val="24"/>
        </w:rPr>
        <w:t>3.3  Pre-requisites</w:t>
      </w:r>
    </w:p>
    <w:p>
      <w:pPr>
        <w:pStyle w:val="ListBullet"/>
        <w:ind w:left="360"/>
      </w:pPr>
      <w:r>
        <w:rPr>
          <w:sz w:val="22"/>
        </w:rPr>
        <w:t>An up-to-date third-party register including communication contacts and channels</w:t>
      </w:r>
    </w:p>
    <w:p>
      <w:pPr>
        <w:pStyle w:val="ListBullet"/>
        <w:ind w:left="360"/>
      </w:pPr>
      <w:r>
        <w:rPr>
          <w:sz w:val="22"/>
        </w:rPr>
        <w:t>Defined templates for security notices, incident notifications, and assurance requests</w:t>
      </w:r>
    </w:p>
    <w:p>
      <w:pPr>
        <w:pStyle w:val="ListBullet"/>
        <w:ind w:left="360"/>
      </w:pPr>
      <w:r>
        <w:rPr>
          <w:sz w:val="22"/>
        </w:rPr>
        <w:t>Authorised spokespersons identified for incident communications</w:t>
      </w:r>
    </w:p>
    <w:p>
      <w:pPr>
        <w:pStyle w:val="ListBullet"/>
        <w:ind w:left="360"/>
      </w:pPr>
      <w:r>
        <w:rPr>
          <w:sz w:val="22"/>
        </w:rPr>
        <w:t>Approved channels for transmission of sensitive information</w:t>
      </w:r>
    </w:p>
    <w:p>
      <w:pPr>
        <w:spacing w:before="240" w:after="80"/>
      </w:pPr>
      <w:r>
        <w:rPr>
          <w:b/>
          <w:sz w:val="24"/>
        </w:rPr>
        <w:t>3.4  Procedure</w:t>
      </w:r>
    </w:p>
    <w:p>
      <w:pPr>
        <w:spacing w:before="240" w:after="80"/>
      </w:pPr>
      <w:r>
        <w:rPr>
          <w:b/>
          <w:sz w:val="22"/>
        </w:rPr>
        <w:t>3.4.1  Determine Communication Need</w:t>
      </w:r>
    </w:p>
    <w:p>
      <w:pPr>
        <w:pStyle w:val="ListBullet"/>
        <w:ind w:left="360"/>
      </w:pPr>
      <w:r>
        <w:rPr>
          <w:sz w:val="22"/>
        </w:rPr>
        <w:t>Identify the trigger event such as new contract, incident, change, audit, or assurance request</w:t>
      </w:r>
    </w:p>
    <w:p>
      <w:pPr>
        <w:pStyle w:val="ListBullet"/>
        <w:ind w:left="360"/>
      </w:pPr>
      <w:r>
        <w:rPr>
          <w:sz w:val="22"/>
        </w:rPr>
        <w:t>Identify the affected third parties using the third-party register</w:t>
      </w:r>
    </w:p>
    <w:p>
      <w:pPr>
        <w:pStyle w:val="ListBullet"/>
        <w:ind w:left="360"/>
      </w:pPr>
      <w:r>
        <w:rPr>
          <w:sz w:val="22"/>
        </w:rPr>
        <w:t>Determine the nature, urgency, and confidentiality of the communication</w:t>
      </w:r>
    </w:p>
    <w:p>
      <w:pPr>
        <w:spacing w:before="240" w:after="80"/>
      </w:pPr>
      <w:r>
        <w:rPr>
          <w:b/>
          <w:sz w:val="22"/>
        </w:rPr>
        <w:t>3.4.2  Authorise the Communication</w:t>
      </w:r>
    </w:p>
    <w:p>
      <w:pPr>
        <w:pStyle w:val="ListBullet"/>
        <w:ind w:left="360"/>
      </w:pPr>
      <w:r>
        <w:rPr>
          <w:sz w:val="22"/>
        </w:rPr>
        <w:t>Communications relating to incidents or contractual obligations require approval from the Information Security Manager and Legal where applicable</w:t>
      </w:r>
    </w:p>
    <w:p>
      <w:pPr>
        <w:pStyle w:val="ListBullet"/>
        <w:ind w:left="360"/>
      </w:pPr>
      <w:r>
        <w:rPr>
          <w:sz w:val="22"/>
        </w:rPr>
        <w:t>Communications to regulators require approval from the Data Protection Officer or General Counsel</w:t>
      </w:r>
    </w:p>
    <w:p>
      <w:pPr>
        <w:pStyle w:val="ListBullet"/>
        <w:ind w:left="360"/>
      </w:pPr>
      <w:r>
        <w:rPr>
          <w:sz w:val="22"/>
        </w:rPr>
        <w:t>Routine assurance requests may be handled by the third-party management team within delegated authority</w:t>
      </w:r>
    </w:p>
    <w:p>
      <w:pPr>
        <w:spacing w:before="240" w:after="80"/>
      </w:pPr>
      <w:r>
        <w:rPr>
          <w:b/>
          <w:sz w:val="22"/>
        </w:rPr>
        <w:t>3.4.3  Prepare the Message</w:t>
      </w:r>
    </w:p>
    <w:p>
      <w:pPr>
        <w:pStyle w:val="ListBullet"/>
        <w:ind w:left="360"/>
      </w:pPr>
      <w:r>
        <w:rPr>
          <w:sz w:val="22"/>
        </w:rPr>
        <w:t>Use the approved template appropriate to the communication type</w:t>
      </w:r>
    </w:p>
    <w:p>
      <w:pPr>
        <w:pStyle w:val="ListBullet"/>
        <w:ind w:left="360"/>
      </w:pPr>
      <w:r>
        <w:rPr>
          <w:sz w:val="22"/>
        </w:rPr>
        <w:t>Limit the disclosure of sensitive information to what is strictly necessary</w:t>
      </w:r>
    </w:p>
    <w:p>
      <w:pPr>
        <w:pStyle w:val="ListBullet"/>
        <w:ind w:left="360"/>
      </w:pPr>
      <w:r>
        <w:rPr>
          <w:sz w:val="22"/>
        </w:rPr>
        <w:t>Review the message with subject matter experts before sending</w:t>
      </w:r>
    </w:p>
    <w:p>
      <w:pPr>
        <w:spacing w:before="240" w:after="80"/>
      </w:pPr>
      <w:r>
        <w:rPr>
          <w:b/>
          <w:sz w:val="22"/>
        </w:rPr>
        <w:t>3.4.4  Transmit Securely</w:t>
      </w:r>
    </w:p>
    <w:p>
      <w:pPr>
        <w:pStyle w:val="ListBullet"/>
        <w:ind w:left="360"/>
      </w:pPr>
      <w:r>
        <w:rPr>
          <w:sz w:val="22"/>
        </w:rPr>
        <w:t>Use approved secure channels such as encrypted email, secure file transfer, or contractual portals</w:t>
      </w:r>
    </w:p>
    <w:p>
      <w:pPr>
        <w:pStyle w:val="ListBullet"/>
        <w:ind w:left="360"/>
      </w:pPr>
      <w:r>
        <w:rPr>
          <w:sz w:val="22"/>
        </w:rPr>
        <w:t>Confirm receipt by the intended recipient</w:t>
      </w:r>
    </w:p>
    <w:p>
      <w:pPr>
        <w:spacing w:before="240" w:after="80"/>
      </w:pPr>
      <w:r>
        <w:rPr>
          <w:b/>
          <w:sz w:val="22"/>
        </w:rPr>
        <w:t>3.4.5  Record the Communication</w:t>
      </w:r>
    </w:p>
    <w:p>
      <w:pPr>
        <w:pStyle w:val="ListBullet"/>
        <w:ind w:left="360"/>
      </w:pPr>
      <w:r>
        <w:rPr>
          <w:sz w:val="22"/>
        </w:rPr>
        <w:t>Log the communication in the third-party communication register including date, parties, subject, and outcome</w:t>
      </w:r>
    </w:p>
    <w:p>
      <w:pPr>
        <w:pStyle w:val="ListBullet"/>
        <w:ind w:left="360"/>
      </w:pPr>
      <w:r>
        <w:rPr>
          <w:sz w:val="22"/>
        </w:rPr>
        <w:t>Retain copies of communications and responses in line with the Data Retention Schedule</w:t>
      </w:r>
    </w:p>
    <w:p>
      <w:pPr>
        <w:spacing w:before="240" w:after="80"/>
      </w:pPr>
      <w:r>
        <w:rPr>
          <w:b/>
          <w:sz w:val="22"/>
        </w:rPr>
        <w:t>3.4.6  Follow Up</w:t>
      </w:r>
    </w:p>
    <w:p>
      <w:pPr>
        <w:pStyle w:val="ListBullet"/>
        <w:ind w:left="360"/>
      </w:pPr>
      <w:r>
        <w:rPr>
          <w:sz w:val="22"/>
        </w:rPr>
        <w:t>Track required actions and responses within agreed timescales</w:t>
      </w:r>
    </w:p>
    <w:p>
      <w:pPr>
        <w:pStyle w:val="ListBullet"/>
        <w:ind w:left="360"/>
      </w:pPr>
      <w:r>
        <w:rPr>
          <w:sz w:val="22"/>
        </w:rPr>
        <w:t>Escalate non-response or non-compliance through the supplier governance process</w:t>
      </w:r>
    </w:p>
    <w:p>
      <w:pPr>
        <w:spacing w:before="240" w:after="80"/>
      </w:pPr>
      <w:r>
        <w:rPr>
          <w:b/>
          <w:sz w:val="24"/>
        </w:rPr>
        <w:t>3.5  Records and Evidence</w:t>
      </w:r>
    </w:p>
    <w:p>
      <w:pPr>
        <w:pStyle w:val="ListBullet"/>
        <w:ind w:left="360"/>
      </w:pPr>
      <w:r>
        <w:rPr>
          <w:sz w:val="22"/>
        </w:rPr>
        <w:t>Third-party communication register entry</w:t>
      </w:r>
    </w:p>
    <w:p>
      <w:pPr>
        <w:pStyle w:val="ListBullet"/>
        <w:ind w:left="360"/>
      </w:pPr>
      <w:r>
        <w:rPr>
          <w:sz w:val="22"/>
        </w:rPr>
        <w:t>Copies of sent and received communications</w:t>
      </w:r>
    </w:p>
    <w:p>
      <w:pPr>
        <w:pStyle w:val="ListBullet"/>
        <w:ind w:left="360"/>
      </w:pPr>
      <w:r>
        <w:rPr>
          <w:sz w:val="22"/>
        </w:rPr>
        <w:t>Acknowledgements of receipt where required</w:t>
      </w:r>
    </w:p>
    <w:p>
      <w:pPr>
        <w:spacing w:before="240" w:after="80"/>
      </w:pPr>
      <w:r>
        <w:rPr>
          <w:b/>
          <w:sz w:val="24"/>
        </w:rPr>
        <w:t>3.6  Related Documents</w:t>
      </w:r>
    </w:p>
    <w:p>
      <w:pPr>
        <w:pStyle w:val="ListBullet"/>
        <w:ind w:left="360"/>
      </w:pPr>
      <w:r>
        <w:rPr>
          <w:sz w:val="22"/>
        </w:rPr>
        <w:t>Third-Party Supplier Security Policy</w:t>
      </w:r>
    </w:p>
    <w:p>
      <w:pPr>
        <w:pStyle w:val="ListBullet"/>
        <w:ind w:left="360"/>
      </w:pPr>
      <w:r>
        <w:rPr>
          <w:sz w:val="22"/>
        </w:rPr>
        <w:t>Incident Reporting Procedure</w:t>
      </w:r>
    </w:p>
    <w:p>
      <w:pPr>
        <w:pStyle w:val="ListBullet"/>
        <w:ind w:left="360"/>
      </w:pPr>
      <w:r>
        <w:rPr>
          <w:sz w:val="22"/>
        </w:rPr>
        <w:t>Vendor Risk Management Procedure</w:t>
      </w:r>
    </w:p>
    <w:p>
      <w:pPr>
        <w:spacing w:before="240" w:after="80"/>
      </w:pPr>
      <w:r>
        <w:rPr>
          <w:b/>
          <w:sz w:val="26"/>
        </w:rPr>
        <w:t>4  Policy Compliance</w:t>
      </w:r>
    </w:p>
    <w:p>
      <w:pPr>
        <w:spacing w:before="240" w:after="80"/>
      </w:pPr>
      <w:r>
        <w:rPr>
          <w:b/>
          <w:sz w:val="24"/>
        </w:rPr>
        <w:t>4.1  Compliance Measurement</w:t>
      </w:r>
    </w:p>
    <w:p>
      <w:pPr>
        <w:spacing w:before="40" w:after="120" w:line="280" w:lineRule="exact"/>
      </w:pPr>
      <w:r>
        <w:rPr>
          <w:sz w:val="22"/>
        </w:rPr>
        <w:t>The information security management team will verify compliance with this policy through various methods including but not limited to periodic internal audits, management reviews, automated compliance reporting tools, and documented evidence reviews. Compliance checks will be conducted at least annually or following any significant change to the environment.</w:t>
      </w:r>
    </w:p>
    <w:p>
      <w:pPr>
        <w:spacing w:before="240" w:after="80"/>
      </w:pPr>
      <w:r>
        <w:rPr>
          <w:b/>
          <w:sz w:val="24"/>
        </w:rPr>
        <w:t>4.2  Exceptions</w:t>
      </w:r>
    </w:p>
    <w:p>
      <w:pPr>
        <w:spacing w:before="40" w:after="120" w:line="280" w:lineRule="exact"/>
      </w:pPr>
      <w:r>
        <w:rPr>
          <w:sz w:val="22"/>
        </w:rPr>
        <w:t>Any exception to this policy must be submitted in writing to the Information Security Manager, who will assess the risk associated with the exception. Approved exceptions must be documented with a risk acceptance statement signed by the appropriate level of management and reported to the Management Review Team. Exceptions are time-limited and subject to review.</w:t>
      </w:r>
    </w:p>
    <w:p>
      <w:pPr>
        <w:spacing w:before="240" w:after="80"/>
      </w:pPr>
      <w:r>
        <w:rPr>
          <w:b/>
          <w:sz w:val="24"/>
        </w:rPr>
        <w:t>4.3  Non-Compliance</w:t>
      </w:r>
    </w:p>
    <w:p>
      <w:pPr>
        <w:spacing w:before="40" w:after="120" w:line="280" w:lineRule="exact"/>
      </w:pPr>
      <w:r>
        <w:rPr>
          <w:sz w:val="22"/>
        </w:rPr>
        <w:t>Any employee, contractor, or third-party user found to have violated this policy may be subject to disciplinary action up to and including termination of employment or contract. Violations may also result in civil or criminal prosecution where applicable law permits. Suspected violations should be reported to the Information Security Manager or via the designated reporting channel.</w:t>
      </w:r>
    </w:p>
    <w:p>
      <w:pPr>
        <w:spacing w:before="240" w:after="80"/>
      </w:pPr>
      <w:r>
        <w:rPr>
          <w:b/>
          <w:sz w:val="24"/>
        </w:rPr>
        <w:t>4.4  Continual Improvement</w:t>
      </w:r>
    </w:p>
    <w:p>
      <w:pPr>
        <w:spacing w:before="40" w:after="120" w:line="280" w:lineRule="exact"/>
      </w:pPr>
      <w:r>
        <w:rPr>
          <w:sz w:val="22"/>
        </w:rPr>
        <w:t>This policy is subject to continual improvement as part of the information security management system. The policy will be reviewed at least annually or following any significant information security incident, regulatory change, or material change to the organisation's operating environment. All revisions are subject to management approval and communicated to relevant stakeholders.</w:t>
      </w:r>
    </w:p>
    <w:p>
      <w:pPr>
        <w:spacing w:before="240" w:after="80"/>
      </w:pPr>
      <w:r>
        <w:rPr>
          <w:b/>
          <w:sz w:val="26"/>
        </w:rPr>
        <w:t>5  ISO 27001:2022 Controls Addressed</w:t>
      </w:r>
    </w:p>
    <w:p>
      <w:pPr>
        <w:spacing w:before="40" w:after="120" w:line="280" w:lineRule="exact"/>
      </w:pPr>
      <w:r>
        <w:rPr>
          <w:sz w:val="22"/>
        </w:rPr>
        <w:t>This document supports compliance with the following ISO/IEC 27001:2022 Annex A controls:</w:t>
      </w:r>
    </w:p>
    <w:p>
      <w:pPr>
        <w:pStyle w:val="ListBullet"/>
        <w:ind w:left="360"/>
      </w:pPr>
      <w:r>
        <w:rPr>
          <w:sz w:val="22"/>
        </w:rPr>
        <w:t>5.6 - Contact with special interest groups</w:t>
      </w:r>
    </w:p>
    <w:p>
      <w:pPr>
        <w:pStyle w:val="ListBullet"/>
        <w:ind w:left="360"/>
      </w:pPr>
      <w:r>
        <w:rPr>
          <w:sz w:val="22"/>
        </w:rPr>
        <w:t>5.5 - Contact with authorities</w:t>
      </w:r>
    </w:p>
    <w:p>
      <w:pPr>
        <w:pStyle w:val="ListBullet"/>
        <w:ind w:left="360"/>
      </w:pPr>
      <w:r>
        <w:rPr>
          <w:sz w:val="22"/>
        </w:rPr>
        <w:t>5.20 - Addressing information security within supplier agreements</w:t>
      </w:r>
    </w:p>
    <w:sectPr w:rsidR="00FC693F" w:rsidRPr="0006063C" w:rsidSect="00034616">
      <w:pgSz w:w="12240" w:h="15840"/>
      <w:pgMar w:top="1440" w:right="1728" w:bottom="144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