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SUPPLIER AUDIT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Supplier Audit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Supplier Audit Procedure</w:t>
      </w:r>
    </w:p>
    <w:p>
      <w:pPr>
        <w:spacing w:before="240" w:after="80"/>
      </w:pPr>
      <w:r>
        <w:rPr>
          <w:b/>
          <w:sz w:val="24"/>
        </w:rPr>
        <w:t>3.1  Purpose</w:t>
      </w:r>
    </w:p>
    <w:p>
      <w:pPr>
        <w:spacing w:before="40" w:after="120" w:line="280" w:lineRule="exact"/>
      </w:pPr>
      <w:r>
        <w:rPr>
          <w:sz w:val="22"/>
        </w:rPr>
        <w:t>This procedure describes the process for conducting security audits and reviews of third-party suppliers. Audits provide assurance that suppliers continue to meet contractual security obligations and maintain effective controls over the duration of the relationship.</w:t>
      </w:r>
    </w:p>
    <w:p>
      <w:pPr>
        <w:spacing w:before="240" w:after="80"/>
      </w:pPr>
      <w:r>
        <w:rPr>
          <w:b/>
          <w:sz w:val="24"/>
        </w:rPr>
        <w:t>3.2  Scope</w:t>
      </w:r>
    </w:p>
    <w:p>
      <w:pPr>
        <w:spacing w:before="40" w:after="120" w:line="280" w:lineRule="exact"/>
      </w:pPr>
      <w:r>
        <w:rPr>
          <w:sz w:val="22"/>
        </w:rPr>
        <w:t>This procedure applies to suppliers identified for audit through the Supplier Monitoring Schedule, typically those classified as critical or high risk, or where contractual or regulatory requirements mandate audit.</w:t>
      </w:r>
    </w:p>
    <w:p>
      <w:pPr>
        <w:spacing w:before="240" w:after="80"/>
      </w:pPr>
      <w:r>
        <w:rPr>
          <w:b/>
          <w:sz w:val="24"/>
        </w:rPr>
        <w:t>3.3  Pre-requisites</w:t>
      </w:r>
    </w:p>
    <w:p>
      <w:pPr>
        <w:pStyle w:val="ListBullet"/>
        <w:ind w:left="360"/>
      </w:pPr>
      <w:r>
        <w:rPr>
          <w:sz w:val="22"/>
        </w:rPr>
        <w:t>Audit right confirmed in the supplier contract</w:t>
      </w:r>
    </w:p>
    <w:p>
      <w:pPr>
        <w:pStyle w:val="ListBullet"/>
        <w:ind w:left="360"/>
      </w:pPr>
      <w:r>
        <w:rPr>
          <w:sz w:val="22"/>
        </w:rPr>
        <w:t>Audit plan approved by the Information Security Manager</w:t>
      </w:r>
    </w:p>
    <w:p>
      <w:pPr>
        <w:pStyle w:val="ListBullet"/>
        <w:ind w:left="360"/>
      </w:pPr>
      <w:r>
        <w:rPr>
          <w:sz w:val="22"/>
        </w:rPr>
        <w:t>Authorised auditor assigned</w:t>
      </w:r>
    </w:p>
    <w:p>
      <w:pPr>
        <w:pStyle w:val="ListBullet"/>
        <w:ind w:left="360"/>
      </w:pPr>
      <w:r>
        <w:rPr>
          <w:sz w:val="22"/>
        </w:rPr>
        <w:t>Supplier notified in line with contractual notice periods</w:t>
      </w:r>
    </w:p>
    <w:p>
      <w:pPr>
        <w:spacing w:before="240" w:after="80"/>
      </w:pPr>
      <w:r>
        <w:rPr>
          <w:b/>
          <w:sz w:val="24"/>
        </w:rPr>
        <w:t>3.4  Procedure</w:t>
      </w:r>
    </w:p>
    <w:p>
      <w:pPr>
        <w:spacing w:before="240" w:after="80"/>
      </w:pPr>
      <w:r>
        <w:rPr>
          <w:b/>
          <w:sz w:val="22"/>
        </w:rPr>
        <w:t>3.4.1  Plan the Audit</w:t>
      </w:r>
    </w:p>
    <w:p>
      <w:pPr>
        <w:pStyle w:val="ListBullet"/>
        <w:ind w:left="360"/>
      </w:pPr>
      <w:r>
        <w:rPr>
          <w:sz w:val="22"/>
        </w:rPr>
        <w:t>Define the audit scope, criteria, and timeline</w:t>
      </w:r>
    </w:p>
    <w:p>
      <w:pPr>
        <w:pStyle w:val="ListBullet"/>
        <w:ind w:left="360"/>
      </w:pPr>
      <w:r>
        <w:rPr>
          <w:sz w:val="22"/>
        </w:rPr>
        <w:t>Identify the controls to be tested based on the supplier's services and contractual obligations</w:t>
      </w:r>
    </w:p>
    <w:p>
      <w:pPr>
        <w:pStyle w:val="ListBullet"/>
        <w:ind w:left="360"/>
      </w:pPr>
      <w:r>
        <w:rPr>
          <w:sz w:val="22"/>
        </w:rPr>
        <w:t>Agree the audit logistics with the supplier including on-site or remote delivery</w:t>
      </w:r>
    </w:p>
    <w:p>
      <w:pPr>
        <w:spacing w:before="240" w:after="80"/>
      </w:pPr>
      <w:r>
        <w:rPr>
          <w:b/>
          <w:sz w:val="22"/>
        </w:rPr>
        <w:t>3.4.2  Conduct the Audit</w:t>
      </w:r>
    </w:p>
    <w:p>
      <w:pPr>
        <w:pStyle w:val="ListBullet"/>
        <w:ind w:left="360"/>
      </w:pPr>
      <w:r>
        <w:rPr>
          <w:sz w:val="22"/>
        </w:rPr>
        <w:t>Open the audit with a kick-off meeting confirming scope and approach</w:t>
      </w:r>
    </w:p>
    <w:p>
      <w:pPr>
        <w:pStyle w:val="ListBullet"/>
        <w:ind w:left="360"/>
      </w:pPr>
      <w:r>
        <w:rPr>
          <w:sz w:val="22"/>
        </w:rPr>
        <w:t>Review documentation, perform interviews, and observe operations</w:t>
      </w:r>
    </w:p>
    <w:p>
      <w:pPr>
        <w:pStyle w:val="ListBullet"/>
        <w:ind w:left="360"/>
      </w:pPr>
      <w:r>
        <w:rPr>
          <w:sz w:val="22"/>
        </w:rPr>
        <w:t>Sample evidence to test the operating effectiveness of controls</w:t>
      </w:r>
    </w:p>
    <w:p>
      <w:pPr>
        <w:pStyle w:val="ListBullet"/>
        <w:ind w:left="360"/>
      </w:pPr>
      <w:r>
        <w:rPr>
          <w:sz w:val="22"/>
        </w:rPr>
        <w:t>Record findings as they are identified</w:t>
      </w:r>
    </w:p>
    <w:p>
      <w:pPr>
        <w:spacing w:before="240" w:after="80"/>
      </w:pPr>
      <w:r>
        <w:rPr>
          <w:b/>
          <w:sz w:val="22"/>
        </w:rPr>
        <w:t>3.4.3  Report Findings</w:t>
      </w:r>
    </w:p>
    <w:p>
      <w:pPr>
        <w:pStyle w:val="ListBullet"/>
        <w:ind w:left="360"/>
      </w:pPr>
      <w:r>
        <w:rPr>
          <w:sz w:val="22"/>
        </w:rPr>
        <w:t>Hold a closing meeting to discuss preliminary findings with the supplier</w:t>
      </w:r>
    </w:p>
    <w:p>
      <w:pPr>
        <w:pStyle w:val="ListBullet"/>
        <w:ind w:left="360"/>
      </w:pPr>
      <w:r>
        <w:rPr>
          <w:sz w:val="22"/>
        </w:rPr>
        <w:t>Issue the formal audit report including findings, severity, and recommendations</w:t>
      </w:r>
    </w:p>
    <w:p>
      <w:pPr>
        <w:pStyle w:val="ListBullet"/>
        <w:ind w:left="360"/>
      </w:pPr>
      <w:r>
        <w:rPr>
          <w:sz w:val="22"/>
        </w:rPr>
        <w:t>Agree the supplier's remediation plan and target dates</w:t>
      </w:r>
    </w:p>
    <w:p>
      <w:pPr>
        <w:spacing w:before="240" w:after="80"/>
      </w:pPr>
      <w:r>
        <w:rPr>
          <w:b/>
          <w:sz w:val="22"/>
        </w:rPr>
        <w:t>3.4.4  Track Remediation</w:t>
      </w:r>
    </w:p>
    <w:p>
      <w:pPr>
        <w:pStyle w:val="ListBullet"/>
        <w:ind w:left="360"/>
      </w:pPr>
      <w:r>
        <w:rPr>
          <w:sz w:val="22"/>
        </w:rPr>
        <w:t>Monitor remediation progress against agreed timelines</w:t>
      </w:r>
    </w:p>
    <w:p>
      <w:pPr>
        <w:pStyle w:val="ListBullet"/>
        <w:ind w:left="360"/>
      </w:pPr>
      <w:r>
        <w:rPr>
          <w:sz w:val="22"/>
        </w:rPr>
        <w:t>Verify remediation effectiveness through follow-up review</w:t>
      </w:r>
    </w:p>
    <w:p>
      <w:pPr>
        <w:pStyle w:val="ListBullet"/>
        <w:ind w:left="360"/>
      </w:pPr>
      <w:r>
        <w:rPr>
          <w:sz w:val="22"/>
        </w:rPr>
        <w:t>Escalate persistent non-conformities through supplier governance</w:t>
      </w:r>
    </w:p>
    <w:p>
      <w:pPr>
        <w:spacing w:before="240" w:after="80"/>
      </w:pPr>
      <w:r>
        <w:rPr>
          <w:b/>
          <w:sz w:val="22"/>
        </w:rPr>
        <w:t>3.4.5  Close the Audit</w:t>
      </w:r>
    </w:p>
    <w:p>
      <w:pPr>
        <w:pStyle w:val="ListBullet"/>
        <w:ind w:left="360"/>
      </w:pPr>
      <w:r>
        <w:rPr>
          <w:sz w:val="22"/>
        </w:rPr>
        <w:t>Confirm all findings are closed or accepted as residual risk</w:t>
      </w:r>
    </w:p>
    <w:p>
      <w:pPr>
        <w:pStyle w:val="ListBullet"/>
        <w:ind w:left="360"/>
      </w:pPr>
      <w:r>
        <w:rPr>
          <w:sz w:val="22"/>
        </w:rPr>
        <w:t>Update the supplier risk profile and the Supplier Monitoring Schedule</w:t>
      </w:r>
    </w:p>
    <w:p>
      <w:pPr>
        <w:pStyle w:val="ListBullet"/>
        <w:ind w:left="360"/>
      </w:pPr>
      <w:r>
        <w:rPr>
          <w:sz w:val="22"/>
        </w:rPr>
        <w:t>Retain audit records for the period required by contract and policy</w:t>
      </w:r>
    </w:p>
    <w:p>
      <w:pPr>
        <w:spacing w:before="240" w:after="80"/>
      </w:pPr>
      <w:r>
        <w:rPr>
          <w:b/>
          <w:sz w:val="24"/>
        </w:rPr>
        <w:t>3.5  Records and Evidence</w:t>
      </w:r>
    </w:p>
    <w:p>
      <w:pPr>
        <w:pStyle w:val="ListBullet"/>
        <w:ind w:left="360"/>
      </w:pPr>
      <w:r>
        <w:rPr>
          <w:sz w:val="22"/>
        </w:rPr>
        <w:t>Audit plan</w:t>
      </w:r>
    </w:p>
    <w:p>
      <w:pPr>
        <w:pStyle w:val="ListBullet"/>
        <w:ind w:left="360"/>
      </w:pPr>
      <w:r>
        <w:rPr>
          <w:sz w:val="22"/>
        </w:rPr>
        <w:t>Working papers and evidence</w:t>
      </w:r>
    </w:p>
    <w:p>
      <w:pPr>
        <w:pStyle w:val="ListBullet"/>
        <w:ind w:left="360"/>
      </w:pPr>
      <w:r>
        <w:rPr>
          <w:sz w:val="22"/>
        </w:rPr>
        <w:t>Final audit report</w:t>
      </w:r>
    </w:p>
    <w:p>
      <w:pPr>
        <w:pStyle w:val="ListBullet"/>
        <w:ind w:left="360"/>
      </w:pPr>
      <w:r>
        <w:rPr>
          <w:sz w:val="22"/>
        </w:rPr>
        <w:t>Remediation tracker</w:t>
      </w:r>
    </w:p>
    <w:p>
      <w:pPr>
        <w:spacing w:before="240" w:after="80"/>
      </w:pPr>
      <w:r>
        <w:rPr>
          <w:b/>
          <w:sz w:val="24"/>
        </w:rPr>
        <w:t>3.6  Related Documents</w:t>
      </w:r>
    </w:p>
    <w:p>
      <w:pPr>
        <w:pStyle w:val="ListBullet"/>
        <w:ind w:left="360"/>
      </w:pPr>
      <w:r>
        <w:rPr>
          <w:sz w:val="22"/>
        </w:rPr>
        <w:t>Vendor Risk Management Procedure</w:t>
      </w:r>
    </w:p>
    <w:p>
      <w:pPr>
        <w:pStyle w:val="ListBullet"/>
        <w:ind w:left="360"/>
      </w:pPr>
      <w:r>
        <w:rPr>
          <w:sz w:val="22"/>
        </w:rPr>
        <w:t>Supplier Audit Checklist</w:t>
      </w:r>
    </w:p>
    <w:p>
      <w:pPr>
        <w:pStyle w:val="ListBullet"/>
        <w:ind w:left="360"/>
      </w:pPr>
      <w:r>
        <w:rPr>
          <w:sz w:val="22"/>
        </w:rPr>
        <w:t>Third-Party Supplier Security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5.22 - Monitoring, review and change management of supplier services</w:t>
      </w:r>
    </w:p>
    <w:p>
      <w:pPr>
        <w:pStyle w:val="ListBullet"/>
        <w:ind w:left="360"/>
      </w:pPr>
      <w:r>
        <w:rPr>
          <w:sz w:val="22"/>
        </w:rPr>
        <w:t>5.21 - Managing information security in the ICT supply chain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