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SECURITY TESTING PROCEDURE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Security Testing Procedure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Pre-requisites</w:t>
      </w:r>
      <w:r>
        <w:tab/>
        <w:t>5</w:t>
      </w:r>
    </w:p>
    <w:p>
      <w:pPr>
        <w:spacing w:before="60" w:after="60"/>
      </w:pPr>
      <w:r>
        <w:rPr>
          <w:sz w:val="22"/>
        </w:rPr>
        <w:t>3.4   Procedure</w:t>
      </w:r>
      <w:r>
        <w:tab/>
        <w:t>6</w:t>
      </w:r>
    </w:p>
    <w:p>
      <w:pPr>
        <w:spacing w:before="60" w:after="60"/>
      </w:pPr>
      <w:r>
        <w:rPr>
          <w:sz w:val="22"/>
        </w:rPr>
        <w:t>3.5   Records and Evidence</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Security Testing Procedure</w:t>
      </w:r>
    </w:p>
    <w:p>
      <w:pPr>
        <w:spacing w:before="240" w:after="80"/>
      </w:pPr>
      <w:r>
        <w:rPr>
          <w:b/>
          <w:sz w:val="24"/>
        </w:rPr>
        <w:t>3.1  Purpose</w:t>
      </w:r>
    </w:p>
    <w:p>
      <w:pPr>
        <w:spacing w:before="40" w:after="120" w:line="280" w:lineRule="exact"/>
      </w:pPr>
      <w:r>
        <w:rPr>
          <w:sz w:val="22"/>
        </w:rPr>
        <w:t>This procedure describes the process for planning, executing, and documenting security testing activities including vulnerability assessment, penetration testing, and application security testing. It ensures that security weaknesses are identified and remediated before exploitation.</w:t>
      </w:r>
    </w:p>
    <w:p>
      <w:pPr>
        <w:spacing w:before="240" w:after="80"/>
      </w:pPr>
      <w:r>
        <w:rPr>
          <w:b/>
          <w:sz w:val="24"/>
        </w:rPr>
        <w:t>3.2  Scope</w:t>
      </w:r>
    </w:p>
    <w:p>
      <w:pPr>
        <w:spacing w:before="40" w:after="120" w:line="280" w:lineRule="exact"/>
      </w:pPr>
      <w:r>
        <w:rPr>
          <w:sz w:val="22"/>
        </w:rPr>
        <w:t>This procedure applies to all security testing performed on organisational systems, applications, and networks, whether by internal teams or external testers.</w:t>
      </w:r>
    </w:p>
    <w:p>
      <w:pPr>
        <w:spacing w:before="240" w:after="80"/>
      </w:pPr>
      <w:r>
        <w:rPr>
          <w:b/>
          <w:sz w:val="24"/>
        </w:rPr>
        <w:t>3.3  Pre-requisites</w:t>
      </w:r>
    </w:p>
    <w:p>
      <w:pPr>
        <w:pStyle w:val="ListBullet"/>
        <w:ind w:left="360"/>
      </w:pPr>
      <w:r>
        <w:rPr>
          <w:sz w:val="22"/>
        </w:rPr>
        <w:t>Approved scope and rules of engagement</w:t>
      </w:r>
    </w:p>
    <w:p>
      <w:pPr>
        <w:pStyle w:val="ListBullet"/>
        <w:ind w:left="360"/>
      </w:pPr>
      <w:r>
        <w:rPr>
          <w:sz w:val="22"/>
        </w:rPr>
        <w:t>Authorisation from system owner and Information Security Manager</w:t>
      </w:r>
    </w:p>
    <w:p>
      <w:pPr>
        <w:pStyle w:val="ListBullet"/>
        <w:ind w:left="360"/>
      </w:pPr>
      <w:r>
        <w:rPr>
          <w:sz w:val="22"/>
        </w:rPr>
        <w:t>Notification to operations and SOC where applicable</w:t>
      </w:r>
    </w:p>
    <w:p>
      <w:pPr>
        <w:spacing w:before="240" w:after="80"/>
      </w:pPr>
      <w:r>
        <w:rPr>
          <w:b/>
          <w:sz w:val="24"/>
        </w:rPr>
        <w:t>3.4  Procedure</w:t>
      </w:r>
    </w:p>
    <w:p>
      <w:pPr>
        <w:spacing w:before="240" w:after="80"/>
      </w:pPr>
      <w:r>
        <w:rPr>
          <w:b/>
          <w:sz w:val="22"/>
        </w:rPr>
        <w:t>3.4.1  Plan the Test</w:t>
      </w:r>
    </w:p>
    <w:p>
      <w:pPr>
        <w:pStyle w:val="ListBullet"/>
        <w:ind w:left="360"/>
      </w:pPr>
      <w:r>
        <w:rPr>
          <w:sz w:val="22"/>
        </w:rPr>
        <w:t>Define objectives, scope, and rules of engagement</w:t>
      </w:r>
    </w:p>
    <w:p>
      <w:pPr>
        <w:pStyle w:val="ListBullet"/>
        <w:ind w:left="360"/>
      </w:pPr>
      <w:r>
        <w:rPr>
          <w:sz w:val="22"/>
        </w:rPr>
        <w:t>Identify the systems, environments, and time windows in scope</w:t>
      </w:r>
    </w:p>
    <w:p>
      <w:pPr>
        <w:pStyle w:val="ListBullet"/>
        <w:ind w:left="360"/>
      </w:pPr>
      <w:r>
        <w:rPr>
          <w:sz w:val="22"/>
        </w:rPr>
        <w:t>Confirm legal agreements and authorisation are in place</w:t>
      </w:r>
    </w:p>
    <w:p>
      <w:pPr>
        <w:pStyle w:val="ListBullet"/>
        <w:ind w:left="360"/>
      </w:pPr>
      <w:r>
        <w:rPr>
          <w:sz w:val="22"/>
        </w:rPr>
        <w:t>Identify any constraints to avoid impact on production</w:t>
      </w:r>
    </w:p>
    <w:p>
      <w:pPr>
        <w:spacing w:before="240" w:after="80"/>
      </w:pPr>
      <w:r>
        <w:rPr>
          <w:b/>
          <w:sz w:val="22"/>
        </w:rPr>
        <w:t>3.4.2  Prepare for Testing</w:t>
      </w:r>
    </w:p>
    <w:p>
      <w:pPr>
        <w:pStyle w:val="ListBullet"/>
        <w:ind w:left="360"/>
      </w:pPr>
      <w:r>
        <w:rPr>
          <w:sz w:val="22"/>
        </w:rPr>
        <w:t>Provision tester access and credentials</w:t>
      </w:r>
    </w:p>
    <w:p>
      <w:pPr>
        <w:pStyle w:val="ListBullet"/>
        <w:ind w:left="360"/>
      </w:pPr>
      <w:r>
        <w:rPr>
          <w:sz w:val="22"/>
        </w:rPr>
        <w:t>Configure monitoring exemptions where required to avoid alert overload</w:t>
      </w:r>
    </w:p>
    <w:p>
      <w:pPr>
        <w:pStyle w:val="ListBullet"/>
        <w:ind w:left="360"/>
      </w:pPr>
      <w:r>
        <w:rPr>
          <w:sz w:val="22"/>
        </w:rPr>
        <w:t>Brief operations teams of expected activity</w:t>
      </w:r>
    </w:p>
    <w:p>
      <w:pPr>
        <w:spacing w:before="240" w:after="80"/>
      </w:pPr>
      <w:r>
        <w:rPr>
          <w:b/>
          <w:sz w:val="22"/>
        </w:rPr>
        <w:t>3.4.3  Execute the Test</w:t>
      </w:r>
    </w:p>
    <w:p>
      <w:pPr>
        <w:pStyle w:val="ListBullet"/>
        <w:ind w:left="360"/>
      </w:pPr>
      <w:r>
        <w:rPr>
          <w:sz w:val="22"/>
        </w:rPr>
        <w:t>Conduct the test in line with the agreed scope and methodology</w:t>
      </w:r>
    </w:p>
    <w:p>
      <w:pPr>
        <w:pStyle w:val="ListBullet"/>
        <w:ind w:left="360"/>
      </w:pPr>
      <w:r>
        <w:rPr>
          <w:sz w:val="22"/>
        </w:rPr>
        <w:t>Document findings as they are identified</w:t>
      </w:r>
    </w:p>
    <w:p>
      <w:pPr>
        <w:pStyle w:val="ListBullet"/>
        <w:ind w:left="360"/>
      </w:pPr>
      <w:r>
        <w:rPr>
          <w:sz w:val="22"/>
        </w:rPr>
        <w:t>Stop and escalate immediately if a critical issue is identified or unintended impact occurs</w:t>
      </w:r>
    </w:p>
    <w:p>
      <w:pPr>
        <w:spacing w:before="240" w:after="80"/>
      </w:pPr>
      <w:r>
        <w:rPr>
          <w:b/>
          <w:sz w:val="22"/>
        </w:rPr>
        <w:t>3.4.4  Report Findings</w:t>
      </w:r>
    </w:p>
    <w:p>
      <w:pPr>
        <w:pStyle w:val="ListBullet"/>
        <w:ind w:left="360"/>
      </w:pPr>
      <w:r>
        <w:rPr>
          <w:sz w:val="22"/>
        </w:rPr>
        <w:t>Issue a written report including findings, severity, evidence, and remediation guidance</w:t>
      </w:r>
    </w:p>
    <w:p>
      <w:pPr>
        <w:pStyle w:val="ListBullet"/>
        <w:ind w:left="360"/>
      </w:pPr>
      <w:r>
        <w:rPr>
          <w:sz w:val="22"/>
        </w:rPr>
        <w:t>Hold a debrief with the system owner and remediation team</w:t>
      </w:r>
    </w:p>
    <w:p>
      <w:pPr>
        <w:spacing w:before="240" w:after="80"/>
      </w:pPr>
      <w:r>
        <w:rPr>
          <w:b/>
          <w:sz w:val="22"/>
        </w:rPr>
        <w:t>3.4.5  Remediate and Re-test</w:t>
      </w:r>
    </w:p>
    <w:p>
      <w:pPr>
        <w:pStyle w:val="ListBullet"/>
        <w:ind w:left="360"/>
      </w:pPr>
      <w:r>
        <w:rPr>
          <w:sz w:val="22"/>
        </w:rPr>
        <w:t>Track findings to closure through the vulnerability management process</w:t>
      </w:r>
    </w:p>
    <w:p>
      <w:pPr>
        <w:pStyle w:val="ListBullet"/>
        <w:ind w:left="360"/>
      </w:pPr>
      <w:r>
        <w:rPr>
          <w:sz w:val="22"/>
        </w:rPr>
        <w:t>Conduct re-tests for critical and high findings to confirm remediation</w:t>
      </w:r>
    </w:p>
    <w:p>
      <w:pPr>
        <w:spacing w:before="240" w:after="80"/>
      </w:pPr>
      <w:r>
        <w:rPr>
          <w:b/>
          <w:sz w:val="22"/>
        </w:rPr>
        <w:t>3.4.6  Close the Engagement</w:t>
      </w:r>
    </w:p>
    <w:p>
      <w:pPr>
        <w:pStyle w:val="ListBullet"/>
        <w:ind w:left="360"/>
      </w:pPr>
      <w:r>
        <w:rPr>
          <w:sz w:val="22"/>
        </w:rPr>
        <w:t>Confirm cleanup of any test artefacts</w:t>
      </w:r>
    </w:p>
    <w:p>
      <w:pPr>
        <w:pStyle w:val="ListBullet"/>
        <w:ind w:left="360"/>
      </w:pPr>
      <w:r>
        <w:rPr>
          <w:sz w:val="22"/>
        </w:rPr>
        <w:t>Retain reports and remediation evidence in line with the Data Retention Schedule</w:t>
      </w:r>
    </w:p>
    <w:p>
      <w:pPr>
        <w:spacing w:before="240" w:after="80"/>
      </w:pPr>
      <w:r>
        <w:rPr>
          <w:b/>
          <w:sz w:val="24"/>
        </w:rPr>
        <w:t>3.5  Records and Evidence</w:t>
      </w:r>
    </w:p>
    <w:p>
      <w:pPr>
        <w:pStyle w:val="ListBullet"/>
        <w:ind w:left="360"/>
      </w:pPr>
      <w:r>
        <w:rPr>
          <w:sz w:val="22"/>
        </w:rPr>
        <w:t>Authorisation and rules of engagement</w:t>
      </w:r>
    </w:p>
    <w:p>
      <w:pPr>
        <w:pStyle w:val="ListBullet"/>
        <w:ind w:left="360"/>
      </w:pPr>
      <w:r>
        <w:rPr>
          <w:sz w:val="22"/>
        </w:rPr>
        <w:t>Test findings and reports</w:t>
      </w:r>
    </w:p>
    <w:p>
      <w:pPr>
        <w:pStyle w:val="ListBullet"/>
        <w:ind w:left="360"/>
      </w:pPr>
      <w:r>
        <w:rPr>
          <w:sz w:val="22"/>
        </w:rPr>
        <w:t>Re-test results</w:t>
      </w:r>
    </w:p>
    <w:p>
      <w:pPr>
        <w:pStyle w:val="ListBullet"/>
        <w:ind w:left="360"/>
      </w:pPr>
      <w:r>
        <w:rPr>
          <w:sz w:val="22"/>
        </w:rPr>
        <w:t>Remediation tracker</w:t>
      </w:r>
    </w:p>
    <w:p>
      <w:pPr>
        <w:spacing w:before="240" w:after="80"/>
      </w:pPr>
      <w:r>
        <w:rPr>
          <w:b/>
          <w:sz w:val="24"/>
        </w:rPr>
        <w:t>3.6  Related Documents</w:t>
      </w:r>
    </w:p>
    <w:p>
      <w:pPr>
        <w:pStyle w:val="ListBullet"/>
        <w:ind w:left="360"/>
      </w:pPr>
      <w:r>
        <w:rPr>
          <w:sz w:val="22"/>
        </w:rPr>
        <w:t>Vulnerability Management Workflow</w:t>
      </w:r>
    </w:p>
    <w:p>
      <w:pPr>
        <w:pStyle w:val="ListBullet"/>
        <w:ind w:left="360"/>
      </w:pPr>
      <w:r>
        <w:rPr>
          <w:sz w:val="22"/>
        </w:rPr>
        <w:t>Secure SDLC Procedure</w:t>
      </w:r>
    </w:p>
    <w:p>
      <w:pPr>
        <w:pStyle w:val="ListBullet"/>
        <w:ind w:left="360"/>
      </w:pPr>
      <w:r>
        <w:rPr>
          <w:sz w:val="22"/>
        </w:rPr>
        <w:t>Security Testing Tools Policy</w:t>
      </w:r>
    </w:p>
    <w:p>
      <w:pPr>
        <w:pStyle w:val="ListBullet"/>
        <w:ind w:left="360"/>
      </w:pPr>
      <w:r>
        <w:rPr>
          <w:sz w:val="22"/>
        </w:rPr>
        <w:t>SAST/DAST Testing Checklist</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8.29 - Security testing in development and acceptance</w:t>
      </w:r>
    </w:p>
    <w:p>
      <w:pPr>
        <w:pStyle w:val="ListBullet"/>
        <w:ind w:left="360"/>
      </w:pPr>
      <w:r>
        <w:rPr>
          <w:sz w:val="22"/>
        </w:rPr>
        <w:t>8.6 - Capacity management</w:t>
      </w:r>
    </w:p>
    <w:p>
      <w:pPr>
        <w:pStyle w:val="ListBullet"/>
        <w:ind w:left="360"/>
      </w:pPr>
      <w:r>
        <w:rPr>
          <w:sz w:val="22"/>
        </w:rPr>
        <w:t>8.34 - Protection of information systems during audit testing</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