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AWARENESS TRAINING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Awareness Training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Awareness Training Procedure</w:t>
      </w:r>
    </w:p>
    <w:p>
      <w:pPr>
        <w:spacing w:before="240" w:after="80"/>
      </w:pPr>
      <w:r>
        <w:rPr>
          <w:b/>
          <w:sz w:val="24"/>
        </w:rPr>
        <w:t>3.1  Purpose</w:t>
      </w:r>
    </w:p>
    <w:p>
      <w:pPr>
        <w:spacing w:before="40" w:after="120" w:line="280" w:lineRule="exact"/>
      </w:pPr>
      <w:r>
        <w:rPr>
          <w:sz w:val="22"/>
        </w:rPr>
        <w:t>This procedure defines the requirements and processes for delivering, tracking, and evaluating information security awareness training to all personnel. Security awareness training is a critical control in reducing human-related information security risks and fostering a culture of security across the organisation.</w:t>
      </w:r>
    </w:p>
    <w:p>
      <w:pPr>
        <w:spacing w:before="240" w:after="80"/>
      </w:pPr>
      <w:r>
        <w:rPr>
          <w:b/>
          <w:sz w:val="24"/>
        </w:rPr>
        <w:t>3.2  Scope</w:t>
      </w:r>
    </w:p>
    <w:p>
      <w:pPr>
        <w:spacing w:before="40" w:after="120" w:line="280" w:lineRule="exact"/>
      </w:pPr>
      <w:r>
        <w:rPr>
          <w:sz w:val="22"/>
        </w:rPr>
        <w:t>This procedure applies to all employees, contractors, and relevant third parties who access organisational systems or data. It covers initial onboarding training, annual refresher training, and role-specific training.</w:t>
      </w:r>
    </w:p>
    <w:p>
      <w:pPr>
        <w:spacing w:before="240" w:after="80"/>
      </w:pPr>
      <w:r>
        <w:rPr>
          <w:b/>
          <w:sz w:val="24"/>
        </w:rPr>
        <w:t>3.3  Pre-requisites</w:t>
      </w:r>
    </w:p>
    <w:p>
      <w:pPr>
        <w:pStyle w:val="ListBullet"/>
        <w:ind w:left="360"/>
      </w:pPr>
      <w:r>
        <w:rPr>
          <w:sz w:val="22"/>
        </w:rPr>
        <w:t>Approved training materials and content</w:t>
      </w:r>
    </w:p>
    <w:p>
      <w:pPr>
        <w:pStyle w:val="ListBullet"/>
        <w:ind w:left="360"/>
      </w:pPr>
      <w:r>
        <w:rPr>
          <w:sz w:val="22"/>
        </w:rPr>
        <w:t>Access to the Learning Management System (LMS) or equivalent</w:t>
      </w:r>
    </w:p>
    <w:p>
      <w:pPr>
        <w:pStyle w:val="ListBullet"/>
        <w:ind w:left="360"/>
      </w:pPr>
      <w:r>
        <w:rPr>
          <w:sz w:val="22"/>
        </w:rPr>
        <w:t>Current staff list from HR</w:t>
      </w:r>
    </w:p>
    <w:p>
      <w:pPr>
        <w:pStyle w:val="ListBullet"/>
        <w:ind w:left="360"/>
      </w:pPr>
      <w:r>
        <w:rPr>
          <w:sz w:val="22"/>
        </w:rPr>
        <w:t>Training completion tracking mechanism</w:t>
      </w:r>
    </w:p>
    <w:p>
      <w:pPr>
        <w:spacing w:before="240" w:after="80"/>
      </w:pPr>
      <w:r>
        <w:rPr>
          <w:b/>
          <w:sz w:val="24"/>
        </w:rPr>
        <w:t>3.4  Procedure</w:t>
      </w:r>
    </w:p>
    <w:p>
      <w:pPr>
        <w:spacing w:before="240" w:after="80"/>
      </w:pPr>
      <w:r>
        <w:rPr>
          <w:b/>
          <w:sz w:val="22"/>
        </w:rPr>
        <w:t>3.4.1  Training Planning</w:t>
      </w:r>
    </w:p>
    <w:p>
      <w:pPr>
        <w:pStyle w:val="ListBullet"/>
        <w:ind w:left="360"/>
      </w:pPr>
      <w:r>
        <w:rPr>
          <w:sz w:val="22"/>
        </w:rPr>
        <w:t>Conduct an annual training needs analysis to identify gaps in security knowledge across the organisation</w:t>
      </w:r>
    </w:p>
    <w:p>
      <w:pPr>
        <w:pStyle w:val="ListBullet"/>
        <w:ind w:left="360"/>
      </w:pPr>
      <w:r>
        <w:rPr>
          <w:sz w:val="22"/>
        </w:rPr>
        <w:t>Define training requirements by role and seniority</w:t>
      </w:r>
    </w:p>
    <w:p>
      <w:pPr>
        <w:pStyle w:val="ListBullet"/>
        <w:ind w:left="360"/>
      </w:pPr>
      <w:r>
        <w:rPr>
          <w:sz w:val="22"/>
        </w:rPr>
        <w:t>Schedule training delivery for the year, ensuring all staff receive mandatory annual training</w:t>
      </w:r>
    </w:p>
    <w:p>
      <w:pPr>
        <w:pStyle w:val="ListBullet"/>
        <w:ind w:left="360"/>
      </w:pPr>
      <w:r>
        <w:rPr>
          <w:sz w:val="22"/>
        </w:rPr>
        <w:t>Procure or develop training content that covers current threats, policy requirements, and legal obligations</w:t>
      </w:r>
    </w:p>
    <w:p>
      <w:pPr>
        <w:pStyle w:val="ListBullet"/>
        <w:ind w:left="360"/>
      </w:pPr>
      <w:r>
        <w:rPr>
          <w:sz w:val="22"/>
        </w:rPr>
        <w:t>Obtain management approval for the annual training plan and budget</w:t>
      </w:r>
    </w:p>
    <w:p>
      <w:pPr>
        <w:spacing w:before="240" w:after="80"/>
      </w:pPr>
      <w:r>
        <w:rPr>
          <w:b/>
          <w:sz w:val="22"/>
        </w:rPr>
        <w:t>3.4.2  Onboarding Training</w:t>
      </w:r>
    </w:p>
    <w:p>
      <w:pPr>
        <w:pStyle w:val="ListBullet"/>
        <w:ind w:left="360"/>
      </w:pPr>
      <w:r>
        <w:rPr>
          <w:sz w:val="22"/>
        </w:rPr>
        <w:t>New employees must complete security awareness induction training within their first week of employment</w:t>
      </w:r>
    </w:p>
    <w:p>
      <w:pPr>
        <w:pStyle w:val="ListBullet"/>
        <w:ind w:left="360"/>
      </w:pPr>
      <w:r>
        <w:rPr>
          <w:sz w:val="22"/>
        </w:rPr>
        <w:t>Training must cover the organisation's information security policies, acceptable use requirements, password management, incident reporting, data classification, and social engineering awareness</w:t>
      </w:r>
    </w:p>
    <w:p>
      <w:pPr>
        <w:pStyle w:val="ListBullet"/>
        <w:ind w:left="360"/>
      </w:pPr>
      <w:r>
        <w:rPr>
          <w:sz w:val="22"/>
        </w:rPr>
        <w:t>Completion and acknowledgment of policies must be recorded before system access is provisioned</w:t>
      </w:r>
    </w:p>
    <w:p>
      <w:pPr>
        <w:pStyle w:val="ListBullet"/>
        <w:ind w:left="360"/>
      </w:pPr>
      <w:r>
        <w:rPr>
          <w:sz w:val="22"/>
        </w:rPr>
        <w:t>The HR department must notify the Information Security Manager of all new starters to trigger onboarding training</w:t>
      </w:r>
    </w:p>
    <w:p>
      <w:pPr>
        <w:spacing w:before="240" w:after="80"/>
      </w:pPr>
      <w:r>
        <w:rPr>
          <w:b/>
          <w:sz w:val="22"/>
        </w:rPr>
        <w:t>3.4.3  Annual Refresher Training</w:t>
      </w:r>
    </w:p>
    <w:p>
      <w:pPr>
        <w:pStyle w:val="ListBullet"/>
        <w:ind w:left="360"/>
      </w:pPr>
      <w:r>
        <w:rPr>
          <w:sz w:val="22"/>
        </w:rPr>
        <w:t>All staff must complete mandatory annual security awareness training</w:t>
      </w:r>
    </w:p>
    <w:p>
      <w:pPr>
        <w:pStyle w:val="ListBullet"/>
        <w:ind w:left="360"/>
      </w:pPr>
      <w:r>
        <w:rPr>
          <w:sz w:val="22"/>
        </w:rPr>
        <w:t>Training content must be updated annually to reflect current threats, lessons learned from incidents, and changes to policies</w:t>
      </w:r>
    </w:p>
    <w:p>
      <w:pPr>
        <w:pStyle w:val="ListBullet"/>
        <w:ind w:left="360"/>
      </w:pPr>
      <w:r>
        <w:rPr>
          <w:sz w:val="22"/>
        </w:rPr>
        <w:t>Training completion must be tracked and non-completions escalated to line managers after 14 days</w:t>
      </w:r>
    </w:p>
    <w:p>
      <w:pPr>
        <w:pStyle w:val="ListBullet"/>
        <w:ind w:left="360"/>
      </w:pPr>
      <w:r>
        <w:rPr>
          <w:sz w:val="22"/>
        </w:rPr>
        <w:t>Persistent non-completion must be escalated to HR for action</w:t>
      </w:r>
    </w:p>
    <w:p>
      <w:pPr>
        <w:pStyle w:val="ListBullet"/>
        <w:ind w:left="360"/>
      </w:pPr>
      <w:r>
        <w:rPr>
          <w:sz w:val="22"/>
        </w:rPr>
        <w:t>Completion records must be maintained for a minimum of three years</w:t>
      </w:r>
    </w:p>
    <w:p>
      <w:pPr>
        <w:spacing w:before="240" w:after="80"/>
      </w:pPr>
      <w:r>
        <w:rPr>
          <w:b/>
          <w:sz w:val="22"/>
        </w:rPr>
        <w:t>3.4.4  Role-Specific Training</w:t>
      </w:r>
    </w:p>
    <w:p>
      <w:pPr>
        <w:pStyle w:val="ListBullet"/>
        <w:ind w:left="360"/>
      </w:pPr>
      <w:r>
        <w:rPr>
          <w:sz w:val="22"/>
        </w:rPr>
        <w:t>Personnel in high-risk roles such as IT administration, development, finance, and management must receive additional role-specific training</w:t>
      </w:r>
    </w:p>
    <w:p>
      <w:pPr>
        <w:pStyle w:val="ListBullet"/>
        <w:ind w:left="360"/>
      </w:pPr>
      <w:r>
        <w:rPr>
          <w:sz w:val="22"/>
        </w:rPr>
        <w:t>Privileged users must complete training on secure system management and privileged access risks</w:t>
      </w:r>
    </w:p>
    <w:p>
      <w:pPr>
        <w:pStyle w:val="ListBullet"/>
        <w:ind w:left="360"/>
      </w:pPr>
      <w:r>
        <w:rPr>
          <w:sz w:val="22"/>
        </w:rPr>
        <w:t>Development teams must receive training on secure coding practices and OWASP Top 10</w:t>
      </w:r>
    </w:p>
    <w:p>
      <w:pPr>
        <w:pStyle w:val="ListBullet"/>
        <w:ind w:left="360"/>
      </w:pPr>
      <w:r>
        <w:rPr>
          <w:sz w:val="22"/>
        </w:rPr>
        <w:t>Management must receive training on information security governance and their specific responsibilities</w:t>
      </w:r>
    </w:p>
    <w:p>
      <w:pPr>
        <w:spacing w:before="240" w:after="80"/>
      </w:pPr>
      <w:r>
        <w:rPr>
          <w:b/>
          <w:sz w:val="22"/>
        </w:rPr>
        <w:t>3.4.5  Phishing Simulations</w:t>
      </w:r>
    </w:p>
    <w:p>
      <w:pPr>
        <w:pStyle w:val="ListBullet"/>
        <w:ind w:left="360"/>
      </w:pPr>
      <w:r>
        <w:rPr>
          <w:sz w:val="22"/>
        </w:rPr>
        <w:t>Simulated phishing campaigns must be conducted at least quarterly to assess employee susceptibility</w:t>
      </w:r>
    </w:p>
    <w:p>
      <w:pPr>
        <w:pStyle w:val="ListBullet"/>
        <w:ind w:left="360"/>
      </w:pPr>
      <w:r>
        <w:rPr>
          <w:sz w:val="22"/>
        </w:rPr>
        <w:t>Employees who fail phishing simulations must receive immediate targeted training</w:t>
      </w:r>
    </w:p>
    <w:p>
      <w:pPr>
        <w:pStyle w:val="ListBullet"/>
        <w:ind w:left="360"/>
      </w:pPr>
      <w:r>
        <w:rPr>
          <w:sz w:val="22"/>
        </w:rPr>
        <w:t>Results must be tracked by department and trends reported to management</w:t>
      </w:r>
    </w:p>
    <w:p>
      <w:pPr>
        <w:pStyle w:val="ListBullet"/>
        <w:ind w:left="360"/>
      </w:pPr>
      <w:r>
        <w:rPr>
          <w:sz w:val="22"/>
        </w:rPr>
        <w:t>Results must not be used punitively but to inform training improvements</w:t>
      </w:r>
    </w:p>
    <w:p>
      <w:pPr>
        <w:spacing w:before="240" w:after="80"/>
      </w:pPr>
      <w:r>
        <w:rPr>
          <w:b/>
          <w:sz w:val="22"/>
        </w:rPr>
        <w:t>3.4.6  Evaluation and Reporting</w:t>
      </w:r>
    </w:p>
    <w:p>
      <w:pPr>
        <w:pStyle w:val="ListBullet"/>
        <w:ind w:left="360"/>
      </w:pPr>
      <w:r>
        <w:rPr>
          <w:sz w:val="22"/>
        </w:rPr>
        <w:t>Training effectiveness must be assessed through quizzes, assessments, and phishing simulation results</w:t>
      </w:r>
    </w:p>
    <w:p>
      <w:pPr>
        <w:pStyle w:val="ListBullet"/>
        <w:ind w:left="360"/>
      </w:pPr>
      <w:r>
        <w:rPr>
          <w:sz w:val="22"/>
        </w:rPr>
        <w:t>Training completion rates and assessment scores must be reported to management quarterly</w:t>
      </w:r>
    </w:p>
    <w:p>
      <w:pPr>
        <w:pStyle w:val="ListBullet"/>
        <w:ind w:left="360"/>
      </w:pPr>
      <w:r>
        <w:rPr>
          <w:sz w:val="22"/>
        </w:rPr>
        <w:t>The training programme must be updated based on evaluation results, incident trends, and changes to the threat landscape</w:t>
      </w:r>
    </w:p>
    <w:p>
      <w:pPr>
        <w:spacing w:before="240" w:after="80"/>
      </w:pPr>
      <w:r>
        <w:rPr>
          <w:b/>
          <w:sz w:val="24"/>
        </w:rPr>
        <w:t>3.5  Records and Evidence</w:t>
      </w:r>
    </w:p>
    <w:p>
      <w:pPr>
        <w:pStyle w:val="ListBullet"/>
        <w:ind w:left="360"/>
      </w:pPr>
      <w:r>
        <w:rPr>
          <w:sz w:val="22"/>
        </w:rPr>
        <w:t>Training completion records (per employee)</w:t>
      </w:r>
    </w:p>
    <w:p>
      <w:pPr>
        <w:pStyle w:val="ListBullet"/>
        <w:ind w:left="360"/>
      </w:pPr>
      <w:r>
        <w:rPr>
          <w:sz w:val="22"/>
        </w:rPr>
        <w:t>Assessment scores</w:t>
      </w:r>
    </w:p>
    <w:p>
      <w:pPr>
        <w:pStyle w:val="ListBullet"/>
        <w:ind w:left="360"/>
      </w:pPr>
      <w:r>
        <w:rPr>
          <w:sz w:val="22"/>
        </w:rPr>
        <w:t>Phishing simulation results</w:t>
      </w:r>
    </w:p>
    <w:p>
      <w:pPr>
        <w:pStyle w:val="ListBullet"/>
        <w:ind w:left="360"/>
      </w:pPr>
      <w:r>
        <w:rPr>
          <w:sz w:val="22"/>
        </w:rPr>
        <w:t>Training plan approval</w:t>
      </w:r>
    </w:p>
    <w:p>
      <w:pPr>
        <w:pStyle w:val="ListBullet"/>
        <w:ind w:left="360"/>
      </w:pPr>
      <w:r>
        <w:rPr>
          <w:sz w:val="22"/>
        </w:rPr>
        <w:t>Annual training review report</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IS-06 Information Security Awareness and Training Policy</w:t>
      </w:r>
    </w:p>
    <w:p>
      <w:pPr>
        <w:pStyle w:val="ListBullet"/>
        <w:ind w:left="360"/>
      </w:pPr>
      <w:r>
        <w:rPr>
          <w:sz w:val="22"/>
        </w:rPr>
        <w:t>Training Record Template</w:t>
      </w:r>
    </w:p>
    <w:p>
      <w:pPr>
        <w:pStyle w:val="ListBullet"/>
        <w:ind w:left="360"/>
      </w:pPr>
      <w:r>
        <w:rPr>
          <w:sz w:val="22"/>
        </w:rPr>
        <w:t>Training Schedule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6.3 - Information security awareness, education and training</w:t>
      </w:r>
    </w:p>
    <w:p>
      <w:pPr>
        <w:pStyle w:val="ListBullet"/>
        <w:ind w:left="360"/>
      </w:pPr>
      <w:r>
        <w:rPr>
          <w:sz w:val="22"/>
        </w:rPr>
        <w:t>7.2 - Competence</w:t>
      </w:r>
    </w:p>
    <w:p>
      <w:pPr>
        <w:pStyle w:val="ListBullet"/>
        <w:ind w:left="360"/>
      </w:pPr>
      <w:r>
        <w:rPr>
          <w:sz w:val="22"/>
        </w:rPr>
        <w:t>7.3 - Awareness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