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SECURE DATA TRANSFER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Secure Data Transfer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Secure Data Transfer Procedure</w:t>
      </w:r>
    </w:p>
    <w:p>
      <w:pPr>
        <w:spacing w:before="240" w:after="80"/>
      </w:pPr>
      <w:r>
        <w:rPr>
          <w:b/>
          <w:sz w:val="24"/>
        </w:rPr>
        <w:t>3.1  Purpose</w:t>
      </w:r>
    </w:p>
    <w:p>
      <w:pPr>
        <w:spacing w:before="40" w:after="120" w:line="280" w:lineRule="exact"/>
      </w:pPr>
      <w:r>
        <w:rPr>
          <w:sz w:val="22"/>
        </w:rPr>
        <w:t>This procedure specifies the approved methods and controls for transferring sensitive data between the organisation and other parties or between organisational systems. It ensures that data is protected in transit against interception, modification, and loss.</w:t>
      </w:r>
    </w:p>
    <w:p>
      <w:pPr>
        <w:spacing w:before="240" w:after="80"/>
      </w:pPr>
      <w:r>
        <w:rPr>
          <w:b/>
          <w:sz w:val="24"/>
        </w:rPr>
        <w:t>3.2  Scope</w:t>
      </w:r>
    </w:p>
    <w:p>
      <w:pPr>
        <w:spacing w:before="40" w:after="120" w:line="280" w:lineRule="exact"/>
      </w:pPr>
      <w:r>
        <w:rPr>
          <w:sz w:val="22"/>
        </w:rPr>
        <w:t>This procedure applies to all transfers of organisational data, including transfers via email, file transfer protocols, removable media, cloud storage, application-to-application interfaces, and physical transport.</w:t>
      </w:r>
    </w:p>
    <w:p>
      <w:pPr>
        <w:spacing w:before="240" w:after="80"/>
      </w:pPr>
      <w:r>
        <w:rPr>
          <w:b/>
          <w:sz w:val="24"/>
        </w:rPr>
        <w:t>3.3  Pre-requisites</w:t>
      </w:r>
    </w:p>
    <w:p>
      <w:pPr>
        <w:pStyle w:val="ListBullet"/>
        <w:ind w:left="360"/>
      </w:pPr>
      <w:r>
        <w:rPr>
          <w:sz w:val="22"/>
        </w:rPr>
        <w:t>Approved encryption standards</w:t>
      </w:r>
    </w:p>
    <w:p>
      <w:pPr>
        <w:pStyle w:val="ListBullet"/>
        <w:ind w:left="360"/>
      </w:pPr>
      <w:r>
        <w:rPr>
          <w:sz w:val="22"/>
        </w:rPr>
        <w:t>Approved file transfer platforms</w:t>
      </w:r>
    </w:p>
    <w:p>
      <w:pPr>
        <w:pStyle w:val="ListBullet"/>
        <w:ind w:left="360"/>
      </w:pPr>
      <w:r>
        <w:rPr>
          <w:sz w:val="22"/>
        </w:rPr>
        <w:t>Recipient identity verified through trusted channels</w:t>
      </w:r>
    </w:p>
    <w:p>
      <w:pPr>
        <w:pStyle w:val="ListBullet"/>
        <w:ind w:left="360"/>
      </w:pPr>
      <w:r>
        <w:rPr>
          <w:sz w:val="22"/>
        </w:rPr>
        <w:t>Business need and authorisation in place</w:t>
      </w:r>
    </w:p>
    <w:p>
      <w:pPr>
        <w:spacing w:before="240" w:after="80"/>
      </w:pPr>
      <w:r>
        <w:rPr>
          <w:b/>
          <w:sz w:val="24"/>
        </w:rPr>
        <w:t>3.4  Procedure</w:t>
      </w:r>
    </w:p>
    <w:p>
      <w:pPr>
        <w:spacing w:before="240" w:after="80"/>
      </w:pPr>
      <w:r>
        <w:rPr>
          <w:b/>
          <w:sz w:val="22"/>
        </w:rPr>
        <w:t>3.4.1  Confirm Authorisation</w:t>
      </w:r>
    </w:p>
    <w:p>
      <w:pPr>
        <w:pStyle w:val="ListBullet"/>
        <w:ind w:left="360"/>
      </w:pPr>
      <w:r>
        <w:rPr>
          <w:sz w:val="22"/>
        </w:rPr>
        <w:t>Verify that the data transfer has been authorised by the Data Owner</w:t>
      </w:r>
    </w:p>
    <w:p>
      <w:pPr>
        <w:pStyle w:val="ListBullet"/>
        <w:ind w:left="360"/>
      </w:pPr>
      <w:r>
        <w:rPr>
          <w:sz w:val="22"/>
        </w:rPr>
        <w:t>Confirm that the recipient has a legitimate need and is approved to receive the data</w:t>
      </w:r>
    </w:p>
    <w:p>
      <w:pPr>
        <w:pStyle w:val="ListBullet"/>
        <w:ind w:left="360"/>
      </w:pPr>
      <w:r>
        <w:rPr>
          <w:sz w:val="22"/>
        </w:rPr>
        <w:t>Where personal data is involved, confirm a lawful basis and appropriate safeguards</w:t>
      </w:r>
    </w:p>
    <w:p>
      <w:pPr>
        <w:spacing w:before="240" w:after="80"/>
      </w:pPr>
      <w:r>
        <w:rPr>
          <w:b/>
          <w:sz w:val="22"/>
        </w:rPr>
        <w:t>3.4.2  Select the Transfer Method</w:t>
      </w:r>
    </w:p>
    <w:p>
      <w:pPr>
        <w:pStyle w:val="ListBullet"/>
        <w:ind w:left="360"/>
      </w:pPr>
      <w:r>
        <w:rPr>
          <w:sz w:val="22"/>
        </w:rPr>
        <w:t>For internal transfers, use approved corporate file shares or collaboration tools</w:t>
      </w:r>
    </w:p>
    <w:p>
      <w:pPr>
        <w:pStyle w:val="ListBullet"/>
        <w:ind w:left="360"/>
      </w:pPr>
      <w:r>
        <w:rPr>
          <w:sz w:val="22"/>
        </w:rPr>
        <w:t>For external transfers, use approved secure file transfer or encrypted email</w:t>
      </w:r>
    </w:p>
    <w:p>
      <w:pPr>
        <w:pStyle w:val="ListBullet"/>
        <w:ind w:left="360"/>
      </w:pPr>
      <w:r>
        <w:rPr>
          <w:sz w:val="22"/>
        </w:rPr>
        <w:t>For very large transfers, use approved managed file transfer platforms</w:t>
      </w:r>
    </w:p>
    <w:p>
      <w:pPr>
        <w:pStyle w:val="ListBullet"/>
        <w:ind w:left="360"/>
      </w:pPr>
      <w:r>
        <w:rPr>
          <w:sz w:val="22"/>
        </w:rPr>
        <w:t>Personal email, consumer messaging apps, and unapproved cloud services must not be used</w:t>
      </w:r>
    </w:p>
    <w:p>
      <w:pPr>
        <w:spacing w:before="240" w:after="80"/>
      </w:pPr>
      <w:r>
        <w:rPr>
          <w:b/>
          <w:sz w:val="22"/>
        </w:rPr>
        <w:t>3.4.3  Apply Protection</w:t>
      </w:r>
    </w:p>
    <w:p>
      <w:pPr>
        <w:pStyle w:val="ListBullet"/>
        <w:ind w:left="360"/>
      </w:pPr>
      <w:r>
        <w:rPr>
          <w:sz w:val="22"/>
        </w:rPr>
        <w:t>Encrypt the data in transit using approved cryptographic standards</w:t>
      </w:r>
    </w:p>
    <w:p>
      <w:pPr>
        <w:pStyle w:val="ListBullet"/>
        <w:ind w:left="360"/>
      </w:pPr>
      <w:r>
        <w:rPr>
          <w:sz w:val="22"/>
        </w:rPr>
        <w:t>Encrypt sensitive files at rest before transfer where required</w:t>
      </w:r>
    </w:p>
    <w:p>
      <w:pPr>
        <w:pStyle w:val="ListBullet"/>
        <w:ind w:left="360"/>
      </w:pPr>
      <w:r>
        <w:rPr>
          <w:sz w:val="22"/>
        </w:rPr>
        <w:t>Transmit credentials separately from the data</w:t>
      </w:r>
    </w:p>
    <w:p>
      <w:pPr>
        <w:spacing w:before="240" w:after="80"/>
      </w:pPr>
      <w:r>
        <w:rPr>
          <w:b/>
          <w:sz w:val="22"/>
        </w:rPr>
        <w:t>3.4.4  Verify Receipt</w:t>
      </w:r>
    </w:p>
    <w:p>
      <w:pPr>
        <w:pStyle w:val="ListBullet"/>
        <w:ind w:left="360"/>
      </w:pPr>
      <w:r>
        <w:rPr>
          <w:sz w:val="22"/>
        </w:rPr>
        <w:t>Confirm with the recipient that the data has been received and is readable</w:t>
      </w:r>
    </w:p>
    <w:p>
      <w:pPr>
        <w:pStyle w:val="ListBullet"/>
        <w:ind w:left="360"/>
      </w:pPr>
      <w:r>
        <w:rPr>
          <w:sz w:val="22"/>
        </w:rPr>
        <w:t>Verify integrity using checksums where appropriate</w:t>
      </w:r>
    </w:p>
    <w:p>
      <w:pPr>
        <w:spacing w:before="240" w:after="80"/>
      </w:pPr>
      <w:r>
        <w:rPr>
          <w:b/>
          <w:sz w:val="22"/>
        </w:rPr>
        <w:t>3.4.5  Record the Transfer</w:t>
      </w:r>
    </w:p>
    <w:p>
      <w:pPr>
        <w:pStyle w:val="ListBullet"/>
        <w:ind w:left="360"/>
      </w:pPr>
      <w:r>
        <w:rPr>
          <w:sz w:val="22"/>
        </w:rPr>
        <w:t>Log the transfer including date, sender, recipient, data type, classification, and method</w:t>
      </w:r>
    </w:p>
    <w:p>
      <w:pPr>
        <w:pStyle w:val="ListBullet"/>
        <w:ind w:left="360"/>
      </w:pPr>
      <w:r>
        <w:rPr>
          <w:sz w:val="22"/>
        </w:rPr>
        <w:t>Retain transfer records in line with the Data Retention Schedule</w:t>
      </w:r>
    </w:p>
    <w:p>
      <w:pPr>
        <w:spacing w:before="240" w:after="80"/>
      </w:pPr>
      <w:r>
        <w:rPr>
          <w:b/>
          <w:sz w:val="24"/>
        </w:rPr>
        <w:t>3.5  Records and Evidence</w:t>
      </w:r>
    </w:p>
    <w:p>
      <w:pPr>
        <w:pStyle w:val="ListBullet"/>
        <w:ind w:left="360"/>
      </w:pPr>
      <w:r>
        <w:rPr>
          <w:sz w:val="22"/>
        </w:rPr>
        <w:t>Data transfer log</w:t>
      </w:r>
    </w:p>
    <w:p>
      <w:pPr>
        <w:pStyle w:val="ListBullet"/>
        <w:ind w:left="360"/>
      </w:pPr>
      <w:r>
        <w:rPr>
          <w:sz w:val="22"/>
        </w:rPr>
        <w:t>Encryption key handover records where applicable</w:t>
      </w:r>
    </w:p>
    <w:p>
      <w:pPr>
        <w:pStyle w:val="ListBullet"/>
        <w:ind w:left="360"/>
      </w:pPr>
      <w:r>
        <w:rPr>
          <w:sz w:val="22"/>
        </w:rPr>
        <w:t>Recipient acknowledgements</w:t>
      </w:r>
    </w:p>
    <w:p>
      <w:pPr>
        <w:spacing w:before="240" w:after="80"/>
      </w:pPr>
      <w:r>
        <w:rPr>
          <w:b/>
          <w:sz w:val="24"/>
        </w:rPr>
        <w:t>3.6  Related Documents</w:t>
      </w:r>
    </w:p>
    <w:p>
      <w:pPr>
        <w:pStyle w:val="ListBullet"/>
        <w:ind w:left="360"/>
      </w:pPr>
      <w:r>
        <w:rPr>
          <w:sz w:val="22"/>
        </w:rPr>
        <w:t>Data Classification Policy</w:t>
      </w:r>
    </w:p>
    <w:p>
      <w:pPr>
        <w:pStyle w:val="ListBullet"/>
        <w:ind w:left="360"/>
      </w:pPr>
      <w:r>
        <w:rPr>
          <w:sz w:val="22"/>
        </w:rPr>
        <w:t>Encryption Standards</w:t>
      </w:r>
    </w:p>
    <w:p>
      <w:pPr>
        <w:pStyle w:val="ListBullet"/>
        <w:ind w:left="360"/>
      </w:pPr>
      <w:r>
        <w:rPr>
          <w:sz w:val="22"/>
        </w:rPr>
        <w:t>Data Loss Prevention Policy</w:t>
      </w:r>
    </w:p>
    <w:p>
      <w:pPr>
        <w:pStyle w:val="ListBullet"/>
        <w:ind w:left="360"/>
      </w:pPr>
      <w:r>
        <w:rPr>
          <w:sz w:val="22"/>
        </w:rPr>
        <w:t>Acceptable Use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5.14 - Information transfer</w:t>
      </w:r>
    </w:p>
    <w:p>
      <w:pPr>
        <w:pStyle w:val="ListBullet"/>
        <w:ind w:left="360"/>
      </w:pPr>
      <w:r>
        <w:rPr>
          <w:sz w:val="22"/>
        </w:rPr>
        <w:t>8.20 - Networks security</w:t>
      </w:r>
    </w:p>
    <w:p>
      <w:pPr>
        <w:pStyle w:val="ListBullet"/>
        <w:ind w:left="360"/>
      </w:pPr>
      <w:r>
        <w:rPr>
          <w:sz w:val="22"/>
        </w:rPr>
        <w:t>8.24 - Use of cryptography</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