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INCIDENT REPORTING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Incident Reporting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Incident Reporting Procedure</w:t>
      </w:r>
    </w:p>
    <w:p>
      <w:pPr>
        <w:spacing w:before="240" w:after="80"/>
      </w:pPr>
      <w:r>
        <w:rPr>
          <w:b/>
          <w:sz w:val="24"/>
        </w:rPr>
        <w:t>3.1  Purpose</w:t>
      </w:r>
    </w:p>
    <w:p>
      <w:pPr>
        <w:spacing w:before="40" w:after="120" w:line="280" w:lineRule="exact"/>
      </w:pPr>
      <w:r>
        <w:rPr>
          <w:sz w:val="22"/>
        </w:rPr>
        <w:t>This procedure defines the step-by-step process for identifying, reporting, escalating, and documenting information security incidents. The timely and accurate reporting of security incidents is essential to limiting damage, enabling effective response, meeting regulatory obligations, and learning from events to prevent recurrence.</w:t>
      </w:r>
    </w:p>
    <w:p>
      <w:pPr>
        <w:spacing w:before="240" w:after="80"/>
      </w:pPr>
      <w:r>
        <w:rPr>
          <w:b/>
          <w:sz w:val="24"/>
        </w:rPr>
        <w:t>3.2  Scope</w:t>
      </w:r>
    </w:p>
    <w:p>
      <w:pPr>
        <w:spacing w:before="40" w:after="120" w:line="280" w:lineRule="exact"/>
      </w:pPr>
      <w:r>
        <w:rPr>
          <w:sz w:val="22"/>
        </w:rPr>
        <w:t>This procedure applies to all employees, contractors, and third parties who identify or suspect an information security incident affecting the organisation's systems, data, or operations.</w:t>
      </w:r>
    </w:p>
    <w:p>
      <w:pPr>
        <w:spacing w:before="240" w:after="80"/>
      </w:pPr>
      <w:r>
        <w:rPr>
          <w:b/>
          <w:sz w:val="24"/>
        </w:rPr>
        <w:t>3.3  Pre-requisites</w:t>
      </w:r>
    </w:p>
    <w:p>
      <w:pPr>
        <w:pStyle w:val="ListBullet"/>
        <w:ind w:left="360"/>
      </w:pPr>
      <w:r>
        <w:rPr>
          <w:sz w:val="22"/>
        </w:rPr>
        <w:t>Familiarity with the types of events that constitute a security incident</w:t>
      </w:r>
    </w:p>
    <w:p>
      <w:pPr>
        <w:pStyle w:val="ListBullet"/>
        <w:ind w:left="360"/>
      </w:pPr>
      <w:r>
        <w:rPr>
          <w:sz w:val="22"/>
        </w:rPr>
        <w:t>Access to the Incident Reporting System or the contact details of the Information Security Manager</w:t>
      </w:r>
    </w:p>
    <w:p>
      <w:pPr>
        <w:pStyle w:val="ListBullet"/>
        <w:ind w:left="360"/>
      </w:pPr>
      <w:r>
        <w:rPr>
          <w:sz w:val="22"/>
        </w:rPr>
        <w:t>Understanding of the organisation's data classification scheme</w:t>
      </w:r>
    </w:p>
    <w:p>
      <w:pPr>
        <w:spacing w:before="240" w:after="80"/>
      </w:pPr>
      <w:r>
        <w:rPr>
          <w:b/>
          <w:sz w:val="24"/>
        </w:rPr>
        <w:t>3.4  Procedure</w:t>
      </w:r>
    </w:p>
    <w:p>
      <w:pPr>
        <w:spacing w:before="240" w:after="80"/>
      </w:pPr>
      <w:r>
        <w:rPr>
          <w:b/>
          <w:sz w:val="22"/>
        </w:rPr>
        <w:t>3.4.1  Identification</w:t>
      </w:r>
    </w:p>
    <w:p>
      <w:pPr>
        <w:pStyle w:val="ListBullet"/>
        <w:ind w:left="360"/>
      </w:pPr>
      <w:r>
        <w:rPr>
          <w:sz w:val="22"/>
        </w:rPr>
        <w:t>Recognise events that may constitute a security incident, including: suspected malware infection, unauthorised system access, data breach or loss, phishing attempt, system outage with suspected security cause, policy violation, or physical security breach</w:t>
      </w:r>
    </w:p>
    <w:p>
      <w:pPr>
        <w:pStyle w:val="ListBullet"/>
        <w:ind w:left="360"/>
      </w:pPr>
      <w:r>
        <w:rPr>
          <w:sz w:val="22"/>
        </w:rPr>
        <w:t>Gather initial information about the event: what happened, when it happened, which systems or data are affected, and who else is aware</w:t>
      </w:r>
    </w:p>
    <w:p>
      <w:pPr>
        <w:pStyle w:val="ListBullet"/>
        <w:ind w:left="360"/>
      </w:pPr>
      <w:r>
        <w:rPr>
          <w:sz w:val="22"/>
        </w:rPr>
        <w:t>Do not attempt to investigate or remediate the incident yourself unless you are authorised to do so</w:t>
      </w:r>
    </w:p>
    <w:p>
      <w:pPr>
        <w:spacing w:before="240" w:after="80"/>
      </w:pPr>
      <w:r>
        <w:rPr>
          <w:b/>
          <w:sz w:val="22"/>
        </w:rPr>
        <w:t>3.4.2  Immediate Reporting</w:t>
      </w:r>
    </w:p>
    <w:p>
      <w:pPr>
        <w:pStyle w:val="ListBullet"/>
        <w:ind w:left="360"/>
      </w:pPr>
      <w:r>
        <w:rPr>
          <w:sz w:val="22"/>
        </w:rPr>
        <w:t>Report the incident immediately to your line manager and to the Information Security Manager using the approved reporting channel</w:t>
      </w:r>
    </w:p>
    <w:p>
      <w:pPr>
        <w:pStyle w:val="ListBullet"/>
        <w:ind w:left="360"/>
      </w:pPr>
      <w:r>
        <w:rPr>
          <w:sz w:val="22"/>
        </w:rPr>
        <w:t>If the Information Security Manager is unavailable, contact the IT helpdesk and escalate to IT management</w:t>
      </w:r>
    </w:p>
    <w:p>
      <w:pPr>
        <w:pStyle w:val="ListBullet"/>
        <w:ind w:left="360"/>
      </w:pPr>
      <w:r>
        <w:rPr>
          <w:sz w:val="22"/>
        </w:rPr>
        <w:t>For critical incidents involving potential data breach, system outage, or significant financial risk, escalate to senior management immediately</w:t>
      </w:r>
    </w:p>
    <w:p>
      <w:pPr>
        <w:pStyle w:val="ListBullet"/>
        <w:ind w:left="360"/>
      </w:pPr>
      <w:r>
        <w:rPr>
          <w:sz w:val="22"/>
        </w:rPr>
        <w:t>Complete the Incident Report Form (or provide the information verbally for urgent incidents) including: incident description, date and time, systems affected, data involved, individuals aware, and steps taken so far</w:t>
      </w:r>
    </w:p>
    <w:p>
      <w:pPr>
        <w:spacing w:before="240" w:after="80"/>
      </w:pPr>
      <w:r>
        <w:rPr>
          <w:b/>
          <w:sz w:val="22"/>
        </w:rPr>
        <w:t>3.4.3  Triage and Classification</w:t>
      </w:r>
    </w:p>
    <w:p>
      <w:pPr>
        <w:pStyle w:val="ListBullet"/>
        <w:ind w:left="360"/>
      </w:pPr>
      <w:r>
        <w:rPr>
          <w:sz w:val="22"/>
        </w:rPr>
        <w:t>The Information Security Manager or designated incident coordinator will assess the reported event and classify it according to severity: Critical, High, Medium, or Low</w:t>
      </w:r>
    </w:p>
    <w:p>
      <w:pPr>
        <w:pStyle w:val="ListBullet"/>
        <w:ind w:left="360"/>
      </w:pPr>
      <w:r>
        <w:rPr>
          <w:sz w:val="22"/>
        </w:rPr>
        <w:t>Critical and High severity incidents will trigger formal incident response procedures and may involve third-party specialists</w:t>
      </w:r>
    </w:p>
    <w:p>
      <w:pPr>
        <w:pStyle w:val="ListBullet"/>
        <w:ind w:left="360"/>
      </w:pPr>
      <w:r>
        <w:rPr>
          <w:sz w:val="22"/>
        </w:rPr>
        <w:t>The incident will be assigned a unique reference number and logged in the Incident Log</w:t>
      </w:r>
    </w:p>
    <w:p>
      <w:pPr>
        <w:spacing w:before="240" w:after="80"/>
      </w:pPr>
      <w:r>
        <w:rPr>
          <w:b/>
          <w:sz w:val="22"/>
        </w:rPr>
        <w:t>3.4.4  Containment and Evidence Preservation</w:t>
      </w:r>
    </w:p>
    <w:p>
      <w:pPr>
        <w:pStyle w:val="ListBullet"/>
        <w:ind w:left="360"/>
      </w:pPr>
      <w:r>
        <w:rPr>
          <w:sz w:val="22"/>
        </w:rPr>
        <w:t>The incident coordinator will direct containment actions to limit the spread or impact of the incident</w:t>
      </w:r>
    </w:p>
    <w:p>
      <w:pPr>
        <w:pStyle w:val="ListBullet"/>
        <w:ind w:left="360"/>
      </w:pPr>
      <w:r>
        <w:rPr>
          <w:sz w:val="22"/>
        </w:rPr>
        <w:t>Evidence must be preserved in its original state where possible; do not delete files, logs, or emails related to the incident</w:t>
      </w:r>
    </w:p>
    <w:p>
      <w:pPr>
        <w:pStyle w:val="ListBullet"/>
        <w:ind w:left="360"/>
      </w:pPr>
      <w:r>
        <w:rPr>
          <w:sz w:val="22"/>
        </w:rPr>
        <w:t>Affected systems should be isolated from the network if required to prevent further damage</w:t>
      </w:r>
    </w:p>
    <w:p>
      <w:pPr>
        <w:pStyle w:val="ListBullet"/>
        <w:ind w:left="360"/>
      </w:pPr>
      <w:r>
        <w:rPr>
          <w:sz w:val="22"/>
        </w:rPr>
        <w:t>All actions taken during containment must be documented with timestamps</w:t>
      </w:r>
    </w:p>
    <w:p>
      <w:pPr>
        <w:spacing w:before="240" w:after="80"/>
      </w:pPr>
      <w:r>
        <w:rPr>
          <w:b/>
          <w:sz w:val="22"/>
        </w:rPr>
        <w:t>3.4.5  Communication and Notification</w:t>
      </w:r>
    </w:p>
    <w:p>
      <w:pPr>
        <w:pStyle w:val="ListBullet"/>
        <w:ind w:left="360"/>
      </w:pPr>
      <w:r>
        <w:rPr>
          <w:sz w:val="22"/>
        </w:rPr>
        <w:t>Internal communications about the incident must be directed through the incident coordinator</w:t>
      </w:r>
    </w:p>
    <w:p>
      <w:pPr>
        <w:pStyle w:val="ListBullet"/>
        <w:ind w:left="360"/>
      </w:pPr>
      <w:r>
        <w:rPr>
          <w:sz w:val="22"/>
        </w:rPr>
        <w:t>External communications, including notifications to customers, partners, or regulators, must be authorised by senior management</w:t>
      </w:r>
    </w:p>
    <w:p>
      <w:pPr>
        <w:pStyle w:val="ListBullet"/>
        <w:ind w:left="360"/>
      </w:pPr>
      <w:r>
        <w:rPr>
          <w:sz w:val="22"/>
        </w:rPr>
        <w:t>Regulatory notification obligations (e.g., to the data protection authority within 72 hours for personal data breaches) must be assessed and actioned as required</w:t>
      </w:r>
    </w:p>
    <w:p>
      <w:pPr>
        <w:pStyle w:val="ListBullet"/>
        <w:ind w:left="360"/>
      </w:pPr>
      <w:r>
        <w:rPr>
          <w:sz w:val="22"/>
        </w:rPr>
        <w:t>Third-party suppliers involved in the incident must be notified in accordance with contractual obligations</w:t>
      </w:r>
    </w:p>
    <w:p>
      <w:pPr>
        <w:spacing w:before="240" w:after="80"/>
      </w:pPr>
      <w:r>
        <w:rPr>
          <w:b/>
          <w:sz w:val="22"/>
        </w:rPr>
        <w:t>3.4.6  Resolution and Post-Incident Review</w:t>
      </w:r>
    </w:p>
    <w:p>
      <w:pPr>
        <w:pStyle w:val="ListBullet"/>
        <w:ind w:left="360"/>
      </w:pPr>
      <w:r>
        <w:rPr>
          <w:sz w:val="22"/>
        </w:rPr>
        <w:t>Once the incident is resolved, a post-incident review must be completed within five business days for High or Critical incidents</w:t>
      </w:r>
    </w:p>
    <w:p>
      <w:pPr>
        <w:pStyle w:val="ListBullet"/>
        <w:ind w:left="360"/>
      </w:pPr>
      <w:r>
        <w:rPr>
          <w:sz w:val="22"/>
        </w:rPr>
        <w:t>The review must identify root cause, lessons learned, and recommended improvements to prevent recurrence</w:t>
      </w:r>
    </w:p>
    <w:p>
      <w:pPr>
        <w:pStyle w:val="ListBullet"/>
        <w:ind w:left="360"/>
      </w:pPr>
      <w:r>
        <w:rPr>
          <w:sz w:val="22"/>
        </w:rPr>
        <w:t>Incident findings must be reported to management and recommendations tracked to completion</w:t>
      </w:r>
    </w:p>
    <w:p>
      <w:pPr>
        <w:pStyle w:val="ListBullet"/>
        <w:ind w:left="360"/>
      </w:pPr>
      <w:r>
        <w:rPr>
          <w:sz w:val="22"/>
        </w:rPr>
        <w:t>The Incident Log must be updated with the final resolution details and closure date</w:t>
      </w:r>
    </w:p>
    <w:p>
      <w:pPr>
        <w:spacing w:before="240" w:after="80"/>
      </w:pPr>
      <w:r>
        <w:rPr>
          <w:b/>
          <w:sz w:val="24"/>
        </w:rPr>
        <w:t>3.5  Records and Evidence</w:t>
      </w:r>
    </w:p>
    <w:p>
      <w:pPr>
        <w:pStyle w:val="ListBullet"/>
        <w:ind w:left="360"/>
      </w:pPr>
      <w:r>
        <w:rPr>
          <w:sz w:val="22"/>
        </w:rPr>
        <w:t>Incident Report Form (completed for all incidents)</w:t>
      </w:r>
    </w:p>
    <w:p>
      <w:pPr>
        <w:pStyle w:val="ListBullet"/>
        <w:ind w:left="360"/>
      </w:pPr>
      <w:r>
        <w:rPr>
          <w:sz w:val="22"/>
        </w:rPr>
        <w:t>Incident Log entry (maintained by Information Security Manager)</w:t>
      </w:r>
    </w:p>
    <w:p>
      <w:pPr>
        <w:pStyle w:val="ListBullet"/>
        <w:ind w:left="360"/>
      </w:pPr>
      <w:r>
        <w:rPr>
          <w:sz w:val="22"/>
        </w:rPr>
        <w:t>Evidence preservation records</w:t>
      </w:r>
    </w:p>
    <w:p>
      <w:pPr>
        <w:pStyle w:val="ListBullet"/>
        <w:ind w:left="360"/>
      </w:pPr>
      <w:r>
        <w:rPr>
          <w:sz w:val="22"/>
        </w:rPr>
        <w:t>Communication log</w:t>
      </w:r>
    </w:p>
    <w:p>
      <w:pPr>
        <w:pStyle w:val="ListBullet"/>
        <w:ind w:left="360"/>
      </w:pPr>
      <w:r>
        <w:rPr>
          <w:sz w:val="22"/>
        </w:rPr>
        <w:t>Post-Incident Review Report (for High and Critical incidents)</w:t>
      </w:r>
    </w:p>
    <w:p>
      <w:pPr>
        <w:pStyle w:val="ListBullet"/>
        <w:ind w:left="360"/>
      </w:pPr>
      <w:r>
        <w:rPr>
          <w:sz w:val="22"/>
        </w:rPr>
        <w:t>Regulatory notification records where applicable</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IS-24 Incident Management Policy</w:t>
      </w:r>
    </w:p>
    <w:p>
      <w:pPr>
        <w:pStyle w:val="ListBullet"/>
        <w:ind w:left="360"/>
      </w:pPr>
      <w:r>
        <w:rPr>
          <w:sz w:val="22"/>
        </w:rPr>
        <w:t>Data Breach Response Procedure</w:t>
      </w:r>
    </w:p>
    <w:p>
      <w:pPr>
        <w:pStyle w:val="ListBullet"/>
        <w:ind w:left="360"/>
      </w:pPr>
      <w:r>
        <w:rPr>
          <w:sz w:val="22"/>
        </w:rPr>
        <w:t>Incident Report Form</w:t>
      </w:r>
    </w:p>
    <w:p>
      <w:pPr>
        <w:pStyle w:val="ListBullet"/>
        <w:ind w:left="360"/>
      </w:pPr>
      <w:r>
        <w:rPr>
          <w:sz w:val="22"/>
        </w:rPr>
        <w:t>Incident Log Template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5.24 - Information security incident management planning and preparation</w:t>
      </w:r>
    </w:p>
    <w:p>
      <w:pPr>
        <w:pStyle w:val="ListBullet"/>
        <w:ind w:left="360"/>
      </w:pPr>
      <w:r>
        <w:rPr>
          <w:sz w:val="22"/>
        </w:rPr>
        <w:t>5.25 - Assessment and decision on information security events</w:t>
      </w:r>
    </w:p>
    <w:p>
      <w:pPr>
        <w:pStyle w:val="ListBullet"/>
        <w:ind w:left="360"/>
      </w:pPr>
      <w:r>
        <w:rPr>
          <w:sz w:val="22"/>
        </w:rPr>
        <w:t>5.26 - Response to information security incidents</w:t>
      </w:r>
    </w:p>
    <w:p>
      <w:pPr>
        <w:pStyle w:val="ListBullet"/>
        <w:ind w:left="360"/>
      </w:pPr>
      <w:r>
        <w:rPr>
          <w:sz w:val="22"/>
        </w:rPr>
        <w:t>5.27 - Learning from information security incidents</w:t>
      </w:r>
    </w:p>
    <w:p>
      <w:pPr>
        <w:pStyle w:val="ListBullet"/>
        <w:ind w:left="360"/>
      </w:pPr>
      <w:r>
        <w:rPr>
          <w:sz w:val="22"/>
        </w:rPr>
        <w:t>6.8 - Information security event reporting</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