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EVIDENCE COLLECTION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Evidence Collection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Evidence Collection Procedure</w:t>
      </w:r>
    </w:p>
    <w:p>
      <w:pPr>
        <w:spacing w:before="240" w:after="80"/>
      </w:pPr>
      <w:r>
        <w:rPr>
          <w:b/>
          <w:sz w:val="24"/>
        </w:rPr>
        <w:t>3.1  Purpose</w:t>
      </w:r>
    </w:p>
    <w:p>
      <w:pPr>
        <w:spacing w:before="40" w:after="120" w:line="280" w:lineRule="exact"/>
      </w:pPr>
      <w:r>
        <w:rPr>
          <w:sz w:val="22"/>
        </w:rPr>
        <w:t>This procedure defines processes for capturing, preserving, and documenting digital evidence in support of investigations, incidents, audits, and legal proceedings. It ensures evidence is admissible and that its integrity can be demonstrated.</w:t>
      </w:r>
    </w:p>
    <w:p>
      <w:pPr>
        <w:spacing w:before="240" w:after="80"/>
      </w:pPr>
      <w:r>
        <w:rPr>
          <w:b/>
          <w:sz w:val="24"/>
        </w:rPr>
        <w:t>3.2  Scope</w:t>
      </w:r>
    </w:p>
    <w:p>
      <w:pPr>
        <w:spacing w:before="40" w:after="120" w:line="280" w:lineRule="exact"/>
      </w:pPr>
      <w:r>
        <w:rPr>
          <w:sz w:val="22"/>
        </w:rPr>
        <w:t>This procedure applies to all evidence collection activities performed on organisational systems, including endpoints, servers, network devices, cloud services, and mobile devices.</w:t>
      </w:r>
    </w:p>
    <w:p>
      <w:pPr>
        <w:spacing w:before="240" w:after="80"/>
      </w:pPr>
      <w:r>
        <w:rPr>
          <w:b/>
          <w:sz w:val="24"/>
        </w:rPr>
        <w:t>3.3  Pre-requisites</w:t>
      </w:r>
    </w:p>
    <w:p>
      <w:pPr>
        <w:pStyle w:val="ListBullet"/>
        <w:ind w:left="360"/>
      </w:pPr>
      <w:r>
        <w:rPr>
          <w:sz w:val="22"/>
        </w:rPr>
        <w:t>Authorised investigator or forensic specialist assigned</w:t>
      </w:r>
    </w:p>
    <w:p>
      <w:pPr>
        <w:pStyle w:val="ListBullet"/>
        <w:ind w:left="360"/>
      </w:pPr>
      <w:r>
        <w:rPr>
          <w:sz w:val="22"/>
        </w:rPr>
        <w:t>Approved evidence collection tools</w:t>
      </w:r>
    </w:p>
    <w:p>
      <w:pPr>
        <w:pStyle w:val="ListBullet"/>
        <w:ind w:left="360"/>
      </w:pPr>
      <w:r>
        <w:rPr>
          <w:sz w:val="22"/>
        </w:rPr>
        <w:t>Secure evidence storage facility</w:t>
      </w:r>
    </w:p>
    <w:p>
      <w:pPr>
        <w:pStyle w:val="ListBullet"/>
        <w:ind w:left="360"/>
      </w:pPr>
      <w:r>
        <w:rPr>
          <w:sz w:val="22"/>
        </w:rPr>
        <w:t>Legal advice obtained where applicable</w:t>
      </w:r>
    </w:p>
    <w:p>
      <w:pPr>
        <w:spacing w:before="240" w:after="80"/>
      </w:pPr>
      <w:r>
        <w:rPr>
          <w:b/>
          <w:sz w:val="24"/>
        </w:rPr>
        <w:t>3.4  Procedure</w:t>
      </w:r>
    </w:p>
    <w:p>
      <w:pPr>
        <w:spacing w:before="240" w:after="80"/>
      </w:pPr>
      <w:r>
        <w:rPr>
          <w:b/>
          <w:sz w:val="22"/>
        </w:rPr>
        <w:t>3.4.1  Authorise Evidence Collection</w:t>
      </w:r>
    </w:p>
    <w:p>
      <w:pPr>
        <w:pStyle w:val="ListBullet"/>
        <w:ind w:left="360"/>
      </w:pPr>
      <w:r>
        <w:rPr>
          <w:sz w:val="22"/>
        </w:rPr>
        <w:t>Confirm the authorisation to collect evidence from the system owner and Legal as appropriate</w:t>
      </w:r>
    </w:p>
    <w:p>
      <w:pPr>
        <w:pStyle w:val="ListBullet"/>
        <w:ind w:left="360"/>
      </w:pPr>
      <w:r>
        <w:rPr>
          <w:sz w:val="22"/>
        </w:rPr>
        <w:t>Establish the chain of custody record at the outset</w:t>
      </w:r>
    </w:p>
    <w:p>
      <w:pPr>
        <w:spacing w:before="240" w:after="80"/>
      </w:pPr>
      <w:r>
        <w:rPr>
          <w:b/>
          <w:sz w:val="22"/>
        </w:rPr>
        <w:t>3.4.2  Identify Evidence Sources</w:t>
      </w:r>
    </w:p>
    <w:p>
      <w:pPr>
        <w:pStyle w:val="ListBullet"/>
        <w:ind w:left="360"/>
      </w:pPr>
      <w:r>
        <w:rPr>
          <w:sz w:val="22"/>
        </w:rPr>
        <w:t>Identify systems, accounts, and data sources relevant to the matter</w:t>
      </w:r>
    </w:p>
    <w:p>
      <w:pPr>
        <w:pStyle w:val="ListBullet"/>
        <w:ind w:left="360"/>
      </w:pPr>
      <w:r>
        <w:rPr>
          <w:sz w:val="22"/>
        </w:rPr>
        <w:t>Prioritise volatile evidence such as memory and live network state</w:t>
      </w:r>
    </w:p>
    <w:p>
      <w:pPr>
        <w:spacing w:before="240" w:after="80"/>
      </w:pPr>
      <w:r>
        <w:rPr>
          <w:b/>
          <w:sz w:val="22"/>
        </w:rPr>
        <w:t>3.4.3  Collect Evidence</w:t>
      </w:r>
    </w:p>
    <w:p>
      <w:pPr>
        <w:pStyle w:val="ListBullet"/>
        <w:ind w:left="360"/>
      </w:pPr>
      <w:r>
        <w:rPr>
          <w:sz w:val="22"/>
        </w:rPr>
        <w:t>Use forensically sound tools and methods to acquire evidence</w:t>
      </w:r>
    </w:p>
    <w:p>
      <w:pPr>
        <w:pStyle w:val="ListBullet"/>
        <w:ind w:left="360"/>
      </w:pPr>
      <w:r>
        <w:rPr>
          <w:sz w:val="22"/>
        </w:rPr>
        <w:t>Capture cryptographic hashes of acquired evidence at the time of collection</w:t>
      </w:r>
    </w:p>
    <w:p>
      <w:pPr>
        <w:pStyle w:val="ListBullet"/>
        <w:ind w:left="360"/>
      </w:pPr>
      <w:r>
        <w:rPr>
          <w:sz w:val="22"/>
        </w:rPr>
        <w:t>Document collection actions including time, location, tools, and operator</w:t>
      </w:r>
    </w:p>
    <w:p>
      <w:pPr>
        <w:spacing w:before="240" w:after="80"/>
      </w:pPr>
      <w:r>
        <w:rPr>
          <w:b/>
          <w:sz w:val="22"/>
        </w:rPr>
        <w:t>3.4.4  Preserve Evidence</w:t>
      </w:r>
    </w:p>
    <w:p>
      <w:pPr>
        <w:pStyle w:val="ListBullet"/>
        <w:ind w:left="360"/>
      </w:pPr>
      <w:r>
        <w:rPr>
          <w:sz w:val="22"/>
        </w:rPr>
        <w:t>Store evidence in secure, access-controlled storage with environmental protection</w:t>
      </w:r>
    </w:p>
    <w:p>
      <w:pPr>
        <w:pStyle w:val="ListBullet"/>
        <w:ind w:left="360"/>
      </w:pPr>
      <w:r>
        <w:rPr>
          <w:sz w:val="22"/>
        </w:rPr>
        <w:t>Maintain the chain of custody including transfers between custodians</w:t>
      </w:r>
    </w:p>
    <w:p>
      <w:pPr>
        <w:pStyle w:val="ListBullet"/>
        <w:ind w:left="360"/>
      </w:pPr>
      <w:r>
        <w:rPr>
          <w:sz w:val="22"/>
        </w:rPr>
        <w:t>Make working copies of evidence and conduct analysis on copies, preserving the original</w:t>
      </w:r>
    </w:p>
    <w:p>
      <w:pPr>
        <w:spacing w:before="240" w:after="80"/>
      </w:pPr>
      <w:r>
        <w:rPr>
          <w:b/>
          <w:sz w:val="22"/>
        </w:rPr>
        <w:t>3.4.5  Analyse and Report</w:t>
      </w:r>
    </w:p>
    <w:p>
      <w:pPr>
        <w:pStyle w:val="ListBullet"/>
        <w:ind w:left="360"/>
      </w:pPr>
      <w:r>
        <w:rPr>
          <w:sz w:val="22"/>
        </w:rPr>
        <w:t>Conduct analysis using approved methods</w:t>
      </w:r>
    </w:p>
    <w:p>
      <w:pPr>
        <w:pStyle w:val="ListBullet"/>
        <w:ind w:left="360"/>
      </w:pPr>
      <w:r>
        <w:rPr>
          <w:sz w:val="22"/>
        </w:rPr>
        <w:t>Document findings, methodology, and limitations</w:t>
      </w:r>
    </w:p>
    <w:p>
      <w:pPr>
        <w:pStyle w:val="ListBullet"/>
        <w:ind w:left="360"/>
      </w:pPr>
      <w:r>
        <w:rPr>
          <w:sz w:val="22"/>
        </w:rPr>
        <w:t>Maintain factual reporting suitable for use in legal or disciplinary proceedings</w:t>
      </w:r>
    </w:p>
    <w:p>
      <w:pPr>
        <w:spacing w:before="240" w:after="80"/>
      </w:pPr>
      <w:r>
        <w:rPr>
          <w:b/>
          <w:sz w:val="22"/>
        </w:rPr>
        <w:t>3.4.6  Disposition</w:t>
      </w:r>
    </w:p>
    <w:p>
      <w:pPr>
        <w:pStyle w:val="ListBullet"/>
        <w:ind w:left="360"/>
      </w:pPr>
      <w:r>
        <w:rPr>
          <w:sz w:val="22"/>
        </w:rPr>
        <w:t>Retain evidence for the period required by the matter, contract, or law</w:t>
      </w:r>
    </w:p>
    <w:p>
      <w:pPr>
        <w:pStyle w:val="ListBullet"/>
        <w:ind w:left="360"/>
      </w:pPr>
      <w:r>
        <w:rPr>
          <w:sz w:val="22"/>
        </w:rPr>
        <w:t>Dispose of evidence securely once retention obligations are satisfied</w:t>
      </w:r>
    </w:p>
    <w:p>
      <w:pPr>
        <w:spacing w:before="240" w:after="80"/>
      </w:pPr>
      <w:r>
        <w:rPr>
          <w:b/>
          <w:sz w:val="24"/>
        </w:rPr>
        <w:t>3.5  Records and Evidence</w:t>
      </w:r>
    </w:p>
    <w:p>
      <w:pPr>
        <w:pStyle w:val="ListBullet"/>
        <w:ind w:left="360"/>
      </w:pPr>
      <w:r>
        <w:rPr>
          <w:sz w:val="22"/>
        </w:rPr>
        <w:t>Chain of custody records</w:t>
      </w:r>
    </w:p>
    <w:p>
      <w:pPr>
        <w:pStyle w:val="ListBullet"/>
        <w:ind w:left="360"/>
      </w:pPr>
      <w:r>
        <w:rPr>
          <w:sz w:val="22"/>
        </w:rPr>
        <w:t>Evidence collection log</w:t>
      </w:r>
    </w:p>
    <w:p>
      <w:pPr>
        <w:pStyle w:val="ListBullet"/>
        <w:ind w:left="360"/>
      </w:pPr>
      <w:r>
        <w:rPr>
          <w:sz w:val="22"/>
        </w:rPr>
        <w:t>Analysis reports</w:t>
      </w:r>
    </w:p>
    <w:p>
      <w:pPr>
        <w:pStyle w:val="ListBullet"/>
        <w:ind w:left="360"/>
      </w:pPr>
      <w:r>
        <w:rPr>
          <w:sz w:val="22"/>
        </w:rPr>
        <w:t>Disposition records</w:t>
      </w:r>
    </w:p>
    <w:p>
      <w:pPr>
        <w:spacing w:before="240" w:after="80"/>
      </w:pPr>
      <w:r>
        <w:rPr>
          <w:b/>
          <w:sz w:val="24"/>
        </w:rPr>
        <w:t>3.6  Related Documents</w:t>
      </w:r>
    </w:p>
    <w:p>
      <w:pPr>
        <w:pStyle w:val="ListBullet"/>
        <w:ind w:left="360"/>
      </w:pPr>
      <w:r>
        <w:rPr>
          <w:sz w:val="22"/>
        </w:rPr>
        <w:t>Incident Management Policy</w:t>
      </w:r>
    </w:p>
    <w:p>
      <w:pPr>
        <w:pStyle w:val="ListBullet"/>
        <w:ind w:left="360"/>
      </w:pPr>
      <w:r>
        <w:rPr>
          <w:sz w:val="22"/>
        </w:rPr>
        <w:t>Audit Log Template</w:t>
      </w:r>
    </w:p>
    <w:p>
      <w:pPr>
        <w:pStyle w:val="ListBullet"/>
        <w:ind w:left="360"/>
      </w:pPr>
      <w:r>
        <w:rPr>
          <w:sz w:val="22"/>
        </w:rPr>
        <w:t>Data Retention Schedule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8.8 - Management of technical vulnerabilities</w:t>
      </w:r>
    </w:p>
    <w:p>
      <w:pPr>
        <w:pStyle w:val="ListBullet"/>
        <w:ind w:left="360"/>
      </w:pPr>
      <w:r>
        <w:rPr>
          <w:sz w:val="22"/>
        </w:rPr>
        <w:t>5.28 - Collection of evidence</w:t>
      </w:r>
    </w:p>
    <w:p>
      <w:pPr>
        <w:pStyle w:val="ListBullet"/>
        <w:ind w:left="360"/>
      </w:pPr>
      <w:r>
        <w:rPr>
          <w:sz w:val="22"/>
        </w:rPr>
        <w:t>5.29 - Information security during disruption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