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EQUIPMENT DECOMMISSIONING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Equipment Decommissioning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Equipment Decommissioning Procedure</w:t>
      </w:r>
    </w:p>
    <w:p>
      <w:pPr>
        <w:spacing w:before="240" w:after="80"/>
      </w:pPr>
      <w:r>
        <w:rPr>
          <w:b/>
          <w:sz w:val="24"/>
        </w:rPr>
        <w:t>3.1  Purpose</w:t>
      </w:r>
    </w:p>
    <w:p>
      <w:pPr>
        <w:spacing w:before="40" w:after="120" w:line="280" w:lineRule="exact"/>
      </w:pPr>
      <w:r>
        <w:rPr>
          <w:sz w:val="22"/>
        </w:rPr>
        <w:t>This procedure governs the safe decommissioning of ICT equipment. It ensures that data is sanitised, equipment is appropriately disposed of or repurposed, and that asset records are updated.</w:t>
      </w:r>
    </w:p>
    <w:p>
      <w:pPr>
        <w:spacing w:before="240" w:after="80"/>
      </w:pPr>
      <w:r>
        <w:rPr>
          <w:b/>
          <w:sz w:val="24"/>
        </w:rPr>
        <w:t>3.2  Scope</w:t>
      </w:r>
    </w:p>
    <w:p>
      <w:pPr>
        <w:spacing w:before="40" w:after="120" w:line="280" w:lineRule="exact"/>
      </w:pPr>
      <w:r>
        <w:rPr>
          <w:sz w:val="22"/>
        </w:rPr>
        <w:t>This procedure applies to all ICT equipment owned, leased, or otherwise controlled by the organisation, including servers, workstations, mobile devices, network equipment, and storage devices.</w:t>
      </w:r>
    </w:p>
    <w:p>
      <w:pPr>
        <w:spacing w:before="240" w:after="80"/>
      </w:pPr>
      <w:r>
        <w:rPr>
          <w:b/>
          <w:sz w:val="24"/>
        </w:rPr>
        <w:t>3.3  Pre-requisites</w:t>
      </w:r>
    </w:p>
    <w:p>
      <w:pPr>
        <w:pStyle w:val="ListBullet"/>
        <w:ind w:left="360"/>
      </w:pPr>
      <w:r>
        <w:rPr>
          <w:sz w:val="22"/>
        </w:rPr>
        <w:t>Equipment identified for decommissioning by the Asset Owner</w:t>
      </w:r>
    </w:p>
    <w:p>
      <w:pPr>
        <w:pStyle w:val="ListBullet"/>
        <w:ind w:left="360"/>
      </w:pPr>
      <w:r>
        <w:rPr>
          <w:sz w:val="22"/>
        </w:rPr>
        <w:t>Decommissioning approved by the IT department</w:t>
      </w:r>
    </w:p>
    <w:p>
      <w:pPr>
        <w:pStyle w:val="ListBullet"/>
        <w:ind w:left="360"/>
      </w:pPr>
      <w:r>
        <w:rPr>
          <w:sz w:val="22"/>
        </w:rPr>
        <w:t>Replacement or migration plan in place where the equipment supports active services</w:t>
      </w:r>
    </w:p>
    <w:p>
      <w:pPr>
        <w:spacing w:before="240" w:after="80"/>
      </w:pPr>
      <w:r>
        <w:rPr>
          <w:b/>
          <w:sz w:val="24"/>
        </w:rPr>
        <w:t>3.4  Procedure</w:t>
      </w:r>
    </w:p>
    <w:p>
      <w:pPr>
        <w:spacing w:before="240" w:after="80"/>
      </w:pPr>
      <w:r>
        <w:rPr>
          <w:b/>
          <w:sz w:val="22"/>
        </w:rPr>
        <w:t>3.4.1  Plan Decommissioning</w:t>
      </w:r>
    </w:p>
    <w:p>
      <w:pPr>
        <w:pStyle w:val="ListBullet"/>
        <w:ind w:left="360"/>
      </w:pPr>
      <w:r>
        <w:rPr>
          <w:sz w:val="22"/>
        </w:rPr>
        <w:t>Confirm services hosted on the equipment have been migrated or terminated</w:t>
      </w:r>
    </w:p>
    <w:p>
      <w:pPr>
        <w:pStyle w:val="ListBullet"/>
        <w:ind w:left="360"/>
      </w:pPr>
      <w:r>
        <w:rPr>
          <w:sz w:val="22"/>
        </w:rPr>
        <w:t>Schedule the decommissioning to minimise operational impact</w:t>
      </w:r>
    </w:p>
    <w:p>
      <w:pPr>
        <w:pStyle w:val="ListBullet"/>
        <w:ind w:left="360"/>
      </w:pPr>
      <w:r>
        <w:rPr>
          <w:sz w:val="22"/>
        </w:rPr>
        <w:t>Notify stakeholders including users and downstream service consumers</w:t>
      </w:r>
    </w:p>
    <w:p>
      <w:pPr>
        <w:spacing w:before="240" w:after="80"/>
      </w:pPr>
      <w:r>
        <w:rPr>
          <w:b/>
          <w:sz w:val="22"/>
        </w:rPr>
        <w:t>3.4.2  Backup and Archive</w:t>
      </w:r>
    </w:p>
    <w:p>
      <w:pPr>
        <w:pStyle w:val="ListBullet"/>
        <w:ind w:left="360"/>
      </w:pPr>
      <w:r>
        <w:rPr>
          <w:sz w:val="22"/>
        </w:rPr>
        <w:t>Confirm that any data required for retention has been backed up or archived</w:t>
      </w:r>
    </w:p>
    <w:p>
      <w:pPr>
        <w:pStyle w:val="ListBullet"/>
        <w:ind w:left="360"/>
      </w:pPr>
      <w:r>
        <w:rPr>
          <w:sz w:val="22"/>
        </w:rPr>
        <w:t>Verify backup integrity</w:t>
      </w:r>
    </w:p>
    <w:p>
      <w:pPr>
        <w:spacing w:before="240" w:after="80"/>
      </w:pPr>
      <w:r>
        <w:rPr>
          <w:b/>
          <w:sz w:val="22"/>
        </w:rPr>
        <w:t>3.4.3  Sanitise Data</w:t>
      </w:r>
    </w:p>
    <w:p>
      <w:pPr>
        <w:pStyle w:val="ListBullet"/>
        <w:ind w:left="360"/>
      </w:pPr>
      <w:r>
        <w:rPr>
          <w:sz w:val="22"/>
        </w:rPr>
        <w:t>Perform secure data sanitisation using approved methods appropriate to the data classification</w:t>
      </w:r>
    </w:p>
    <w:p>
      <w:pPr>
        <w:pStyle w:val="ListBullet"/>
        <w:ind w:left="360"/>
      </w:pPr>
      <w:r>
        <w:rPr>
          <w:sz w:val="22"/>
        </w:rPr>
        <w:t>Verify sanitisation through automated reports or independent verification</w:t>
      </w:r>
    </w:p>
    <w:p>
      <w:pPr>
        <w:spacing w:before="240" w:after="80"/>
      </w:pPr>
      <w:r>
        <w:rPr>
          <w:b/>
          <w:sz w:val="22"/>
        </w:rPr>
        <w:t>3.4.4  Physical Decommissioning</w:t>
      </w:r>
    </w:p>
    <w:p>
      <w:pPr>
        <w:pStyle w:val="ListBullet"/>
        <w:ind w:left="360"/>
      </w:pPr>
      <w:r>
        <w:rPr>
          <w:sz w:val="22"/>
        </w:rPr>
        <w:t>Disconnect and remove the equipment from racks and networks</w:t>
      </w:r>
    </w:p>
    <w:p>
      <w:pPr>
        <w:pStyle w:val="ListBullet"/>
        <w:ind w:left="360"/>
      </w:pPr>
      <w:r>
        <w:rPr>
          <w:sz w:val="22"/>
        </w:rPr>
        <w:t>Update inventory and configuration management records</w:t>
      </w:r>
    </w:p>
    <w:p>
      <w:pPr>
        <w:pStyle w:val="ListBullet"/>
        <w:ind w:left="360"/>
      </w:pPr>
      <w:r>
        <w:rPr>
          <w:sz w:val="22"/>
        </w:rPr>
        <w:t>Transport equipment securely to the disposal or storage location</w:t>
      </w:r>
    </w:p>
    <w:p>
      <w:pPr>
        <w:spacing w:before="240" w:after="80"/>
      </w:pPr>
      <w:r>
        <w:rPr>
          <w:b/>
          <w:sz w:val="22"/>
        </w:rPr>
        <w:t>3.4.5  Disposal or Repurposing</w:t>
      </w:r>
    </w:p>
    <w:p>
      <w:pPr>
        <w:pStyle w:val="ListBullet"/>
        <w:ind w:left="360"/>
      </w:pPr>
      <w:r>
        <w:rPr>
          <w:sz w:val="22"/>
        </w:rPr>
        <w:t>Dispose of equipment through approved e-waste channels for items that cannot be reused</w:t>
      </w:r>
    </w:p>
    <w:p>
      <w:pPr>
        <w:pStyle w:val="ListBullet"/>
        <w:ind w:left="360"/>
      </w:pPr>
      <w:r>
        <w:rPr>
          <w:sz w:val="22"/>
        </w:rPr>
        <w:t>Repurpose equipment only after secure sanitisation and re-imaging</w:t>
      </w:r>
    </w:p>
    <w:p>
      <w:pPr>
        <w:pStyle w:val="ListBullet"/>
        <w:ind w:left="360"/>
      </w:pPr>
      <w:r>
        <w:rPr>
          <w:sz w:val="22"/>
        </w:rPr>
        <w:t>Obtain certificates of disposal for high-value or regulated assets</w:t>
      </w:r>
    </w:p>
    <w:p>
      <w:pPr>
        <w:spacing w:before="240" w:after="80"/>
      </w:pPr>
      <w:r>
        <w:rPr>
          <w:b/>
          <w:sz w:val="22"/>
        </w:rPr>
        <w:t>3.4.6  Update Records</w:t>
      </w:r>
    </w:p>
    <w:p>
      <w:pPr>
        <w:pStyle w:val="ListBullet"/>
        <w:ind w:left="360"/>
      </w:pPr>
      <w:r>
        <w:rPr>
          <w:sz w:val="22"/>
        </w:rPr>
        <w:t>Update the Asset Management Register with the disposal or repurposing outcome</w:t>
      </w:r>
    </w:p>
    <w:p>
      <w:pPr>
        <w:pStyle w:val="ListBullet"/>
        <w:ind w:left="360"/>
      </w:pPr>
      <w:r>
        <w:rPr>
          <w:sz w:val="22"/>
        </w:rPr>
        <w:t>Close out related contracts, leases, and warranties</w:t>
      </w:r>
    </w:p>
    <w:p>
      <w:pPr>
        <w:spacing w:before="240" w:after="80"/>
      </w:pPr>
      <w:r>
        <w:rPr>
          <w:b/>
          <w:sz w:val="24"/>
        </w:rPr>
        <w:t>3.5  Records and Evidence</w:t>
      </w:r>
    </w:p>
    <w:p>
      <w:pPr>
        <w:pStyle w:val="ListBullet"/>
        <w:ind w:left="360"/>
      </w:pPr>
      <w:r>
        <w:rPr>
          <w:sz w:val="22"/>
        </w:rPr>
        <w:t>Decommissioning checklist</w:t>
      </w:r>
    </w:p>
    <w:p>
      <w:pPr>
        <w:pStyle w:val="ListBullet"/>
        <w:ind w:left="360"/>
      </w:pPr>
      <w:r>
        <w:rPr>
          <w:sz w:val="22"/>
        </w:rPr>
        <w:t>Sanitisation reports</w:t>
      </w:r>
    </w:p>
    <w:p>
      <w:pPr>
        <w:pStyle w:val="ListBullet"/>
        <w:ind w:left="360"/>
      </w:pPr>
      <w:r>
        <w:rPr>
          <w:sz w:val="22"/>
        </w:rPr>
        <w:t>Disposal certificates</w:t>
      </w:r>
    </w:p>
    <w:p>
      <w:pPr>
        <w:pStyle w:val="ListBullet"/>
        <w:ind w:left="360"/>
      </w:pPr>
      <w:r>
        <w:rPr>
          <w:sz w:val="22"/>
        </w:rPr>
        <w:t>Asset Management Register update</w:t>
      </w:r>
    </w:p>
    <w:p>
      <w:pPr>
        <w:spacing w:before="240" w:after="80"/>
      </w:pPr>
      <w:r>
        <w:rPr>
          <w:b/>
          <w:sz w:val="24"/>
        </w:rPr>
        <w:t>3.6  Related Documents</w:t>
      </w:r>
    </w:p>
    <w:p>
      <w:pPr>
        <w:pStyle w:val="ListBullet"/>
        <w:ind w:left="360"/>
      </w:pPr>
      <w:r>
        <w:rPr>
          <w:sz w:val="22"/>
        </w:rPr>
        <w:t>Asset Destruction Procedure</w:t>
      </w:r>
    </w:p>
    <w:p>
      <w:pPr>
        <w:pStyle w:val="ListBullet"/>
        <w:ind w:left="360"/>
      </w:pPr>
      <w:r>
        <w:rPr>
          <w:sz w:val="22"/>
        </w:rPr>
        <w:t>Asset Disposal Checklist</w:t>
      </w:r>
    </w:p>
    <w:p>
      <w:pPr>
        <w:pStyle w:val="ListBullet"/>
        <w:ind w:left="360"/>
      </w:pPr>
      <w:r>
        <w:rPr>
          <w:sz w:val="22"/>
        </w:rPr>
        <w:t>Data Sanitization Checklist</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7.14 - Secure disposal or re-use of equipment</w:t>
      </w:r>
    </w:p>
    <w:p>
      <w:pPr>
        <w:pStyle w:val="ListBullet"/>
        <w:ind w:left="360"/>
      </w:pPr>
      <w:r>
        <w:rPr>
          <w:sz w:val="22"/>
        </w:rPr>
        <w:t>8.10 - Information deletion</w:t>
      </w:r>
    </w:p>
    <w:p>
      <w:pPr>
        <w:pStyle w:val="ListBullet"/>
        <w:ind w:left="360"/>
      </w:pPr>
      <w:r>
        <w:rPr>
          <w:sz w:val="22"/>
        </w:rPr>
        <w:t>5.9 - Inventory of information and other associated assets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