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DATA LABELING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Data Labeling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Data Labeling Procedure</w:t>
      </w:r>
    </w:p>
    <w:p>
      <w:pPr>
        <w:spacing w:before="240" w:after="80"/>
      </w:pPr>
      <w:r>
        <w:rPr>
          <w:b/>
          <w:sz w:val="24"/>
        </w:rPr>
        <w:t>3.1  Purpose</w:t>
      </w:r>
    </w:p>
    <w:p>
      <w:pPr>
        <w:spacing w:before="40" w:after="120" w:line="280" w:lineRule="exact"/>
      </w:pPr>
      <w:r>
        <w:rPr>
          <w:sz w:val="22"/>
        </w:rPr>
        <w:t>This procedure defines how to apply data classification labels to documents, files, emails, and other information assets in a consistent manner. Labelling enables automated handling controls and supports user awareness of the sensitivity of information.</w:t>
      </w:r>
    </w:p>
    <w:p>
      <w:pPr>
        <w:spacing w:before="240" w:after="80"/>
      </w:pPr>
      <w:r>
        <w:rPr>
          <w:b/>
          <w:sz w:val="24"/>
        </w:rPr>
        <w:t>3.2  Scope</w:t>
      </w:r>
    </w:p>
    <w:p>
      <w:pPr>
        <w:spacing w:before="40" w:after="120" w:line="280" w:lineRule="exact"/>
      </w:pPr>
      <w:r>
        <w:rPr>
          <w:sz w:val="22"/>
        </w:rPr>
        <w:t>This procedure applies to all information assets created, received, or processed by the organisation in electronic and physical form.</w:t>
      </w:r>
    </w:p>
    <w:p>
      <w:pPr>
        <w:spacing w:before="240" w:after="80"/>
      </w:pPr>
      <w:r>
        <w:rPr>
          <w:b/>
          <w:sz w:val="24"/>
        </w:rPr>
        <w:t>3.3  Pre-requisites</w:t>
      </w:r>
    </w:p>
    <w:p>
      <w:pPr>
        <w:pStyle w:val="ListBullet"/>
        <w:ind w:left="360"/>
      </w:pPr>
      <w:r>
        <w:rPr>
          <w:sz w:val="22"/>
        </w:rPr>
        <w:t>Approved Data Classification Policy and classification levels</w:t>
      </w:r>
    </w:p>
    <w:p>
      <w:pPr>
        <w:pStyle w:val="ListBullet"/>
        <w:ind w:left="360"/>
      </w:pPr>
      <w:r>
        <w:rPr>
          <w:sz w:val="22"/>
        </w:rPr>
        <w:t>Labelling tools configured on supported applications such as office productivity suites and email clients</w:t>
      </w:r>
    </w:p>
    <w:p>
      <w:pPr>
        <w:pStyle w:val="ListBullet"/>
        <w:ind w:left="360"/>
      </w:pPr>
      <w:r>
        <w:rPr>
          <w:sz w:val="22"/>
        </w:rPr>
        <w:t>User training on classification and labelling completed</w:t>
      </w:r>
    </w:p>
    <w:p>
      <w:pPr>
        <w:spacing w:before="240" w:after="80"/>
      </w:pPr>
      <w:r>
        <w:rPr>
          <w:b/>
          <w:sz w:val="24"/>
        </w:rPr>
        <w:t>3.4  Procedure</w:t>
      </w:r>
    </w:p>
    <w:p>
      <w:pPr>
        <w:spacing w:before="240" w:after="80"/>
      </w:pPr>
      <w:r>
        <w:rPr>
          <w:b/>
          <w:sz w:val="22"/>
        </w:rPr>
        <w:t>3.4.1  Determine Classification</w:t>
      </w:r>
    </w:p>
    <w:p>
      <w:pPr>
        <w:pStyle w:val="ListBullet"/>
        <w:ind w:left="360"/>
      </w:pPr>
      <w:r>
        <w:rPr>
          <w:sz w:val="22"/>
        </w:rPr>
        <w:t>Identify the most sensitive information contained within the asset</w:t>
      </w:r>
    </w:p>
    <w:p>
      <w:pPr>
        <w:pStyle w:val="ListBullet"/>
        <w:ind w:left="360"/>
      </w:pPr>
      <w:r>
        <w:rPr>
          <w:sz w:val="22"/>
        </w:rPr>
        <w:t>Assign the highest applicable classification level</w:t>
      </w:r>
    </w:p>
    <w:p>
      <w:pPr>
        <w:pStyle w:val="ListBullet"/>
        <w:ind w:left="360"/>
      </w:pPr>
      <w:r>
        <w:rPr>
          <w:sz w:val="22"/>
        </w:rPr>
        <w:t>Where multiple classifications apply, the most restrictive applies to the entire asset</w:t>
      </w:r>
    </w:p>
    <w:p>
      <w:pPr>
        <w:spacing w:before="240" w:after="80"/>
      </w:pPr>
      <w:r>
        <w:rPr>
          <w:b/>
          <w:sz w:val="22"/>
        </w:rPr>
        <w:t>3.4.2  Apply the Label</w:t>
      </w:r>
    </w:p>
    <w:p>
      <w:pPr>
        <w:pStyle w:val="ListBullet"/>
        <w:ind w:left="360"/>
      </w:pPr>
      <w:r>
        <w:rPr>
          <w:sz w:val="22"/>
        </w:rPr>
        <w:t>Use the approved labelling tool to apply the visible label and embedded metadata</w:t>
      </w:r>
    </w:p>
    <w:p>
      <w:pPr>
        <w:pStyle w:val="ListBullet"/>
        <w:ind w:left="360"/>
      </w:pPr>
      <w:r>
        <w:rPr>
          <w:sz w:val="22"/>
        </w:rPr>
        <w:t>For physical documents, mark the classification clearly on each page</w:t>
      </w:r>
    </w:p>
    <w:p>
      <w:pPr>
        <w:pStyle w:val="ListBullet"/>
        <w:ind w:left="360"/>
      </w:pPr>
      <w:r>
        <w:rPr>
          <w:sz w:val="22"/>
        </w:rPr>
        <w:t>For email, apply the label before sending</w:t>
      </w:r>
    </w:p>
    <w:p>
      <w:pPr>
        <w:spacing w:before="240" w:after="80"/>
      </w:pPr>
      <w:r>
        <w:rPr>
          <w:b/>
          <w:sz w:val="22"/>
        </w:rPr>
        <w:t>3.4.3  Apply Handling Controls</w:t>
      </w:r>
    </w:p>
    <w:p>
      <w:pPr>
        <w:pStyle w:val="ListBullet"/>
        <w:ind w:left="360"/>
      </w:pPr>
      <w:r>
        <w:rPr>
          <w:sz w:val="22"/>
        </w:rPr>
        <w:t>Allow the labelling tool to enforce automatic handling controls such as encryption and recipient restrictions</w:t>
      </w:r>
    </w:p>
    <w:p>
      <w:pPr>
        <w:pStyle w:val="ListBullet"/>
        <w:ind w:left="360"/>
      </w:pPr>
      <w:r>
        <w:rPr>
          <w:sz w:val="22"/>
        </w:rPr>
        <w:t>Apply additional manual controls where required by the Data Classification Policy</w:t>
      </w:r>
    </w:p>
    <w:p>
      <w:pPr>
        <w:spacing w:before="240" w:after="80"/>
      </w:pPr>
      <w:r>
        <w:rPr>
          <w:b/>
          <w:sz w:val="22"/>
        </w:rPr>
        <w:t>3.4.4  Re-classification</w:t>
      </w:r>
    </w:p>
    <w:p>
      <w:pPr>
        <w:pStyle w:val="ListBullet"/>
        <w:ind w:left="360"/>
      </w:pPr>
      <w:r>
        <w:rPr>
          <w:sz w:val="22"/>
        </w:rPr>
        <w:t>Periodically review classifications, particularly when information sensitivity changes</w:t>
      </w:r>
    </w:p>
    <w:p>
      <w:pPr>
        <w:pStyle w:val="ListBullet"/>
        <w:ind w:left="360"/>
      </w:pPr>
      <w:r>
        <w:rPr>
          <w:sz w:val="22"/>
        </w:rPr>
        <w:t>Apply new labels and remove obsolete ones</w:t>
      </w:r>
    </w:p>
    <w:p>
      <w:pPr>
        <w:spacing w:before="240" w:after="80"/>
      </w:pPr>
      <w:r>
        <w:rPr>
          <w:b/>
          <w:sz w:val="22"/>
        </w:rPr>
        <w:t>3.4.5  Handle Mislabelled Information</w:t>
      </w:r>
    </w:p>
    <w:p>
      <w:pPr>
        <w:pStyle w:val="ListBullet"/>
        <w:ind w:left="360"/>
      </w:pPr>
      <w:r>
        <w:rPr>
          <w:sz w:val="22"/>
        </w:rPr>
        <w:t>Report missing or incorrect labels to the data owner for correction</w:t>
      </w:r>
    </w:p>
    <w:p>
      <w:pPr>
        <w:pStyle w:val="ListBullet"/>
        <w:ind w:left="360"/>
      </w:pPr>
      <w:r>
        <w:rPr>
          <w:sz w:val="22"/>
        </w:rPr>
        <w:t>Treat unlabelled information as Internal until classified</w:t>
      </w:r>
    </w:p>
    <w:p>
      <w:pPr>
        <w:spacing w:before="240" w:after="80"/>
      </w:pPr>
      <w:r>
        <w:rPr>
          <w:b/>
          <w:sz w:val="24"/>
        </w:rPr>
        <w:t>3.5  Records and Evidence</w:t>
      </w:r>
    </w:p>
    <w:p>
      <w:pPr>
        <w:pStyle w:val="ListBullet"/>
        <w:ind w:left="360"/>
      </w:pPr>
      <w:r>
        <w:rPr>
          <w:sz w:val="22"/>
        </w:rPr>
        <w:t>Labelling activity logs from labelling tooling</w:t>
      </w:r>
    </w:p>
    <w:p>
      <w:pPr>
        <w:pStyle w:val="ListBullet"/>
        <w:ind w:left="360"/>
      </w:pPr>
      <w:r>
        <w:rPr>
          <w:sz w:val="22"/>
        </w:rPr>
        <w:t>Data Classification Register entries</w:t>
      </w:r>
    </w:p>
    <w:p>
      <w:pPr>
        <w:spacing w:before="240" w:after="80"/>
      </w:pPr>
      <w:r>
        <w:rPr>
          <w:b/>
          <w:sz w:val="24"/>
        </w:rPr>
        <w:t>3.6  Related Documents</w:t>
      </w:r>
    </w:p>
    <w:p>
      <w:pPr>
        <w:pStyle w:val="ListBullet"/>
        <w:ind w:left="360"/>
      </w:pPr>
      <w:r>
        <w:rPr>
          <w:sz w:val="22"/>
        </w:rPr>
        <w:t>Data Classification Policy</w:t>
      </w:r>
    </w:p>
    <w:p>
      <w:pPr>
        <w:pStyle w:val="ListBullet"/>
        <w:ind w:left="360"/>
      </w:pPr>
      <w:r>
        <w:rPr>
          <w:sz w:val="22"/>
        </w:rPr>
        <w:t>Acceptable Use Policy</w:t>
      </w:r>
    </w:p>
    <w:p>
      <w:pPr>
        <w:pStyle w:val="ListBullet"/>
        <w:ind w:left="360"/>
      </w:pPr>
      <w:r>
        <w:rPr>
          <w:sz w:val="22"/>
        </w:rPr>
        <w:t>Data Classification Register</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5.13 - Labelling of information</w:t>
      </w:r>
    </w:p>
    <w:p>
      <w:pPr>
        <w:pStyle w:val="ListBullet"/>
        <w:ind w:left="360"/>
      </w:pPr>
      <w:r>
        <w:rPr>
          <w:sz w:val="22"/>
        </w:rPr>
        <w:t>5.12 - Classification of information</w:t>
      </w:r>
    </w:p>
    <w:p>
      <w:pPr>
        <w:pStyle w:val="ListBullet"/>
        <w:ind w:left="360"/>
      </w:pPr>
      <w:r>
        <w:rPr>
          <w:sz w:val="22"/>
        </w:rPr>
        <w:t>8.12 - Data leakage prevention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