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DATA DELETION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Data Deletion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Data Deletion Procedure</w:t>
      </w:r>
    </w:p>
    <w:p>
      <w:pPr>
        <w:spacing w:before="240" w:after="80"/>
      </w:pPr>
      <w:r>
        <w:rPr>
          <w:b/>
          <w:sz w:val="24"/>
        </w:rPr>
        <w:t>3.1  Purpose</w:t>
      </w:r>
    </w:p>
    <w:p>
      <w:pPr>
        <w:spacing w:before="40" w:after="120" w:line="280" w:lineRule="exact"/>
      </w:pPr>
      <w:r>
        <w:rPr>
          <w:sz w:val="22"/>
        </w:rPr>
        <w:t>This procedure specifies approved methods for securely deleting data from systems and storage media when it is no longer required. It supports compliance with retention policies, data subject rights, and contractual obligations.</w:t>
      </w:r>
    </w:p>
    <w:p>
      <w:pPr>
        <w:spacing w:before="240" w:after="80"/>
      </w:pPr>
      <w:r>
        <w:rPr>
          <w:b/>
          <w:sz w:val="24"/>
        </w:rPr>
        <w:t>3.2  Scope</w:t>
      </w:r>
    </w:p>
    <w:p>
      <w:pPr>
        <w:spacing w:before="40" w:after="120" w:line="280" w:lineRule="exact"/>
      </w:pPr>
      <w:r>
        <w:rPr>
          <w:sz w:val="22"/>
        </w:rPr>
        <w:t>This procedure applies to all organisational data held in any system or storage medium owned or operated by the organisation, and to data held by third parties on the organisation's behalf.</w:t>
      </w:r>
    </w:p>
    <w:p>
      <w:pPr>
        <w:spacing w:before="240" w:after="80"/>
      </w:pPr>
      <w:r>
        <w:rPr>
          <w:b/>
          <w:sz w:val="24"/>
        </w:rPr>
        <w:t>3.3  Pre-requisites</w:t>
      </w:r>
    </w:p>
    <w:p>
      <w:pPr>
        <w:pStyle w:val="ListBullet"/>
        <w:ind w:left="360"/>
      </w:pPr>
      <w:r>
        <w:rPr>
          <w:sz w:val="22"/>
        </w:rPr>
        <w:t>Confirmed end of retention period or other valid trigger for deletion</w:t>
      </w:r>
    </w:p>
    <w:p>
      <w:pPr>
        <w:pStyle w:val="ListBullet"/>
        <w:ind w:left="360"/>
      </w:pPr>
      <w:r>
        <w:rPr>
          <w:sz w:val="22"/>
        </w:rPr>
        <w:t>Approval from the Data Owner</w:t>
      </w:r>
    </w:p>
    <w:p>
      <w:pPr>
        <w:pStyle w:val="ListBullet"/>
        <w:ind w:left="360"/>
      </w:pPr>
      <w:r>
        <w:rPr>
          <w:sz w:val="22"/>
        </w:rPr>
        <w:t>Approved deletion tools or services</w:t>
      </w:r>
    </w:p>
    <w:p>
      <w:pPr>
        <w:spacing w:before="240" w:after="80"/>
      </w:pPr>
      <w:r>
        <w:rPr>
          <w:b/>
          <w:sz w:val="24"/>
        </w:rPr>
        <w:t>3.4  Procedure</w:t>
      </w:r>
    </w:p>
    <w:p>
      <w:pPr>
        <w:spacing w:before="240" w:after="80"/>
      </w:pPr>
      <w:r>
        <w:rPr>
          <w:b/>
          <w:sz w:val="22"/>
        </w:rPr>
        <w:t>3.4.1  Confirm Deletion Trigger</w:t>
      </w:r>
    </w:p>
    <w:p>
      <w:pPr>
        <w:pStyle w:val="ListBullet"/>
        <w:ind w:left="360"/>
      </w:pPr>
      <w:r>
        <w:rPr>
          <w:sz w:val="22"/>
        </w:rPr>
        <w:t>Confirm that retention period has expired, a data subject request requires deletion, or a contract requires deletion</w:t>
      </w:r>
    </w:p>
    <w:p>
      <w:pPr>
        <w:pStyle w:val="ListBullet"/>
        <w:ind w:left="360"/>
      </w:pPr>
      <w:r>
        <w:rPr>
          <w:sz w:val="22"/>
        </w:rPr>
        <w:t>Verify there is no legal hold preventing deletion</w:t>
      </w:r>
    </w:p>
    <w:p>
      <w:pPr>
        <w:spacing w:before="240" w:after="80"/>
      </w:pPr>
      <w:r>
        <w:rPr>
          <w:b/>
          <w:sz w:val="22"/>
        </w:rPr>
        <w:t>3.4.2  Identify Data Locations</w:t>
      </w:r>
    </w:p>
    <w:p>
      <w:pPr>
        <w:pStyle w:val="ListBullet"/>
        <w:ind w:left="360"/>
      </w:pPr>
      <w:r>
        <w:rPr>
          <w:sz w:val="22"/>
        </w:rPr>
        <w:t>Use the data inventory to identify all locations where the data is stored, including primary systems, backups, archives, and copies held by third parties</w:t>
      </w:r>
    </w:p>
    <w:p>
      <w:pPr>
        <w:spacing w:before="240" w:after="80"/>
      </w:pPr>
      <w:r>
        <w:rPr>
          <w:b/>
          <w:sz w:val="22"/>
        </w:rPr>
        <w:t>3.4.3  Select Deletion Method</w:t>
      </w:r>
    </w:p>
    <w:p>
      <w:pPr>
        <w:pStyle w:val="ListBullet"/>
        <w:ind w:left="360"/>
      </w:pPr>
      <w:r>
        <w:rPr>
          <w:sz w:val="22"/>
        </w:rPr>
        <w:t>Use cryptographic erasure where data is encrypted and the key can be destroyed</w:t>
      </w:r>
    </w:p>
    <w:p>
      <w:pPr>
        <w:pStyle w:val="ListBullet"/>
        <w:ind w:left="360"/>
      </w:pPr>
      <w:r>
        <w:rPr>
          <w:sz w:val="22"/>
        </w:rPr>
        <w:t>Use secure overwrite tools for media that will be reused</w:t>
      </w:r>
    </w:p>
    <w:p>
      <w:pPr>
        <w:pStyle w:val="ListBullet"/>
        <w:ind w:left="360"/>
      </w:pPr>
      <w:r>
        <w:rPr>
          <w:sz w:val="22"/>
        </w:rPr>
        <w:t>Use physical destruction for media that will not be reused or where overwrite is not feasible</w:t>
      </w:r>
    </w:p>
    <w:p>
      <w:pPr>
        <w:pStyle w:val="ListBullet"/>
        <w:ind w:left="360"/>
      </w:pPr>
      <w:r>
        <w:rPr>
          <w:sz w:val="22"/>
        </w:rPr>
        <w:t>Use vendor-provided deletion functions for cloud services where available, supported by contractual confirmation</w:t>
      </w:r>
    </w:p>
    <w:p>
      <w:pPr>
        <w:spacing w:before="240" w:after="80"/>
      </w:pPr>
      <w:r>
        <w:rPr>
          <w:b/>
          <w:sz w:val="22"/>
        </w:rPr>
        <w:t>3.4.4  Execute Deletion</w:t>
      </w:r>
    </w:p>
    <w:p>
      <w:pPr>
        <w:pStyle w:val="ListBullet"/>
        <w:ind w:left="360"/>
      </w:pPr>
      <w:r>
        <w:rPr>
          <w:sz w:val="22"/>
        </w:rPr>
        <w:t>Carry out deletion in line with the selected method</w:t>
      </w:r>
    </w:p>
    <w:p>
      <w:pPr>
        <w:pStyle w:val="ListBullet"/>
        <w:ind w:left="360"/>
      </w:pPr>
      <w:r>
        <w:rPr>
          <w:sz w:val="22"/>
        </w:rPr>
        <w:t>Verify deletion through automated reports, sampling, or independent confirmation</w:t>
      </w:r>
    </w:p>
    <w:p>
      <w:pPr>
        <w:spacing w:before="240" w:after="80"/>
      </w:pPr>
      <w:r>
        <w:rPr>
          <w:b/>
          <w:sz w:val="22"/>
        </w:rPr>
        <w:t>3.4.5  Address Backups</w:t>
      </w:r>
    </w:p>
    <w:p>
      <w:pPr>
        <w:pStyle w:val="ListBullet"/>
        <w:ind w:left="360"/>
      </w:pPr>
      <w:r>
        <w:rPr>
          <w:sz w:val="22"/>
        </w:rPr>
        <w:t>Document the rolling deletion of data from backup media as backups expire</w:t>
      </w:r>
    </w:p>
    <w:p>
      <w:pPr>
        <w:pStyle w:val="ListBullet"/>
        <w:ind w:left="360"/>
      </w:pPr>
      <w:r>
        <w:rPr>
          <w:sz w:val="22"/>
        </w:rPr>
        <w:t>Where required, run targeted deletion against backups</w:t>
      </w:r>
    </w:p>
    <w:p>
      <w:pPr>
        <w:spacing w:before="240" w:after="80"/>
      </w:pPr>
      <w:r>
        <w:rPr>
          <w:b/>
          <w:sz w:val="22"/>
        </w:rPr>
        <w:t>3.4.6  Record Deletion</w:t>
      </w:r>
    </w:p>
    <w:p>
      <w:pPr>
        <w:pStyle w:val="ListBullet"/>
        <w:ind w:left="360"/>
      </w:pPr>
      <w:r>
        <w:rPr>
          <w:sz w:val="22"/>
        </w:rPr>
        <w:t>Record the deletion in the deletion register including data, scope, method, date, and operator</w:t>
      </w:r>
    </w:p>
    <w:p>
      <w:pPr>
        <w:pStyle w:val="ListBullet"/>
        <w:ind w:left="360"/>
      </w:pPr>
      <w:r>
        <w:rPr>
          <w:sz w:val="22"/>
        </w:rPr>
        <w:t>Retain deletion evidence for the period required by policy or regulation</w:t>
      </w:r>
    </w:p>
    <w:p>
      <w:pPr>
        <w:spacing w:before="240" w:after="80"/>
      </w:pPr>
      <w:r>
        <w:rPr>
          <w:b/>
          <w:sz w:val="24"/>
        </w:rPr>
        <w:t>3.5  Records and Evidence</w:t>
      </w:r>
    </w:p>
    <w:p>
      <w:pPr>
        <w:pStyle w:val="ListBullet"/>
        <w:ind w:left="360"/>
      </w:pPr>
      <w:r>
        <w:rPr>
          <w:sz w:val="22"/>
        </w:rPr>
        <w:t>Deletion request and approval</w:t>
      </w:r>
    </w:p>
    <w:p>
      <w:pPr>
        <w:pStyle w:val="ListBullet"/>
        <w:ind w:left="360"/>
      </w:pPr>
      <w:r>
        <w:rPr>
          <w:sz w:val="22"/>
        </w:rPr>
        <w:t>Deletion method documentation</w:t>
      </w:r>
    </w:p>
    <w:p>
      <w:pPr>
        <w:pStyle w:val="ListBullet"/>
        <w:ind w:left="360"/>
      </w:pPr>
      <w:r>
        <w:rPr>
          <w:sz w:val="22"/>
        </w:rPr>
        <w:t>Verification reports</w:t>
      </w:r>
    </w:p>
    <w:p>
      <w:pPr>
        <w:pStyle w:val="ListBullet"/>
        <w:ind w:left="360"/>
      </w:pPr>
      <w:r>
        <w:rPr>
          <w:sz w:val="22"/>
        </w:rPr>
        <w:t>Deletion register</w:t>
      </w:r>
    </w:p>
    <w:p>
      <w:pPr>
        <w:spacing w:before="240" w:after="80"/>
      </w:pPr>
      <w:r>
        <w:rPr>
          <w:b/>
          <w:sz w:val="24"/>
        </w:rPr>
        <w:t>3.6  Related Documents</w:t>
      </w:r>
    </w:p>
    <w:p>
      <w:pPr>
        <w:pStyle w:val="ListBullet"/>
        <w:ind w:left="360"/>
      </w:pPr>
      <w:r>
        <w:rPr>
          <w:sz w:val="22"/>
        </w:rPr>
        <w:t>Data Storage and Retention Policy</w:t>
      </w:r>
    </w:p>
    <w:p>
      <w:pPr>
        <w:pStyle w:val="ListBullet"/>
        <w:ind w:left="360"/>
      </w:pPr>
      <w:r>
        <w:rPr>
          <w:sz w:val="22"/>
        </w:rPr>
        <w:t>Data Retention Schedule</w:t>
      </w:r>
    </w:p>
    <w:p>
      <w:pPr>
        <w:pStyle w:val="ListBullet"/>
        <w:ind w:left="360"/>
      </w:pPr>
      <w:r>
        <w:rPr>
          <w:sz w:val="22"/>
        </w:rPr>
        <w:t>Asset Destruction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8.10 - Information deletion</w:t>
      </w:r>
    </w:p>
    <w:p>
      <w:pPr>
        <w:pStyle w:val="ListBullet"/>
        <w:ind w:left="360"/>
      </w:pPr>
      <w:r>
        <w:rPr>
          <w:sz w:val="22"/>
        </w:rPr>
        <w:t>5.34 - Privacy and protection of PII</w:t>
      </w:r>
    </w:p>
    <w:p>
      <w:pPr>
        <w:pStyle w:val="ListBullet"/>
        <w:ind w:left="360"/>
      </w:pPr>
      <w:r>
        <w:rPr>
          <w:sz w:val="22"/>
        </w:rPr>
        <w:t>8.11 - Data masking</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