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DLP MONITORING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DLP Monitoring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DLP Monitoring Procedure</w:t>
      </w:r>
    </w:p>
    <w:p>
      <w:pPr>
        <w:spacing w:before="240" w:after="80"/>
      </w:pPr>
      <w:r>
        <w:rPr>
          <w:b/>
          <w:sz w:val="24"/>
        </w:rPr>
        <w:t>3.1  Purpose</w:t>
      </w:r>
    </w:p>
    <w:p>
      <w:pPr>
        <w:spacing w:before="40" w:after="120" w:line="280" w:lineRule="exact"/>
      </w:pPr>
      <w:r>
        <w:rPr>
          <w:sz w:val="22"/>
        </w:rPr>
        <w:t>This procedure defines how Data Loss Prevention tools are configured, monitored, and how alerts are investigated and resolved. It ensures consistent and timely response to potential data leakage events.</w:t>
      </w:r>
    </w:p>
    <w:p>
      <w:pPr>
        <w:spacing w:before="240" w:after="80"/>
      </w:pPr>
      <w:r>
        <w:rPr>
          <w:b/>
          <w:sz w:val="24"/>
        </w:rPr>
        <w:t>3.2  Scope</w:t>
      </w:r>
    </w:p>
    <w:p>
      <w:pPr>
        <w:spacing w:before="40" w:after="120" w:line="280" w:lineRule="exact"/>
      </w:pPr>
      <w:r>
        <w:rPr>
          <w:sz w:val="22"/>
        </w:rPr>
        <w:t>This procedure applies to all DLP tooling deployed across email, web, endpoint, and cloud channels and to all personnel involved in operating and responding to DLP alerts.</w:t>
      </w:r>
    </w:p>
    <w:p>
      <w:pPr>
        <w:spacing w:before="240" w:after="80"/>
      </w:pPr>
      <w:r>
        <w:rPr>
          <w:b/>
          <w:sz w:val="24"/>
        </w:rPr>
        <w:t>3.3  Pre-requisites</w:t>
      </w:r>
    </w:p>
    <w:p>
      <w:pPr>
        <w:pStyle w:val="ListBullet"/>
        <w:ind w:left="360"/>
      </w:pPr>
      <w:r>
        <w:rPr>
          <w:sz w:val="22"/>
        </w:rPr>
        <w:t>Approved DLP Policy and rule set</w:t>
      </w:r>
    </w:p>
    <w:p>
      <w:pPr>
        <w:pStyle w:val="ListBullet"/>
        <w:ind w:left="360"/>
      </w:pPr>
      <w:r>
        <w:rPr>
          <w:sz w:val="22"/>
        </w:rPr>
        <w:t>DLP tooling deployed and integrated with central monitoring</w:t>
      </w:r>
    </w:p>
    <w:p>
      <w:pPr>
        <w:pStyle w:val="ListBullet"/>
        <w:ind w:left="360"/>
      </w:pPr>
      <w:r>
        <w:rPr>
          <w:sz w:val="22"/>
        </w:rPr>
        <w:t>Defined alert severity levels and response service levels</w:t>
      </w:r>
    </w:p>
    <w:p>
      <w:pPr>
        <w:spacing w:before="240" w:after="80"/>
      </w:pPr>
      <w:r>
        <w:rPr>
          <w:b/>
          <w:sz w:val="24"/>
        </w:rPr>
        <w:t>3.4  Procedure</w:t>
      </w:r>
    </w:p>
    <w:p>
      <w:pPr>
        <w:spacing w:before="240" w:after="80"/>
      </w:pPr>
      <w:r>
        <w:rPr>
          <w:b/>
          <w:sz w:val="22"/>
        </w:rPr>
        <w:t>3.4.1  Configure Rules</w:t>
      </w:r>
    </w:p>
    <w:p>
      <w:pPr>
        <w:pStyle w:val="ListBullet"/>
        <w:ind w:left="360"/>
      </w:pPr>
      <w:r>
        <w:rPr>
          <w:sz w:val="22"/>
        </w:rPr>
        <w:t>Configure DLP rules in line with the data classification scheme</w:t>
      </w:r>
    </w:p>
    <w:p>
      <w:pPr>
        <w:pStyle w:val="ListBullet"/>
        <w:ind w:left="360"/>
      </w:pPr>
      <w:r>
        <w:rPr>
          <w:sz w:val="22"/>
        </w:rPr>
        <w:t>Test new rules in monitoring mode before enabling blocking</w:t>
      </w:r>
    </w:p>
    <w:p>
      <w:pPr>
        <w:pStyle w:val="ListBullet"/>
        <w:ind w:left="360"/>
      </w:pPr>
      <w:r>
        <w:rPr>
          <w:sz w:val="22"/>
        </w:rPr>
        <w:t>Document rule changes and approvals</w:t>
      </w:r>
    </w:p>
    <w:p>
      <w:pPr>
        <w:spacing w:before="240" w:after="80"/>
      </w:pPr>
      <w:r>
        <w:rPr>
          <w:b/>
          <w:sz w:val="22"/>
        </w:rPr>
        <w:t>3.4.2  Monitor Alerts</w:t>
      </w:r>
    </w:p>
    <w:p>
      <w:pPr>
        <w:pStyle w:val="ListBullet"/>
        <w:ind w:left="360"/>
      </w:pPr>
      <w:r>
        <w:rPr>
          <w:sz w:val="22"/>
        </w:rPr>
        <w:t>Receive alerts in the central monitoring platform</w:t>
      </w:r>
    </w:p>
    <w:p>
      <w:pPr>
        <w:pStyle w:val="ListBullet"/>
        <w:ind w:left="360"/>
      </w:pPr>
      <w:r>
        <w:rPr>
          <w:sz w:val="22"/>
        </w:rPr>
        <w:t>Triage alerts based on severity, context, and asset criticality</w:t>
      </w:r>
    </w:p>
    <w:p>
      <w:pPr>
        <w:spacing w:before="240" w:after="80"/>
      </w:pPr>
      <w:r>
        <w:rPr>
          <w:b/>
          <w:sz w:val="22"/>
        </w:rPr>
        <w:t>3.4.3  Investigate Alerts</w:t>
      </w:r>
    </w:p>
    <w:p>
      <w:pPr>
        <w:pStyle w:val="ListBullet"/>
        <w:ind w:left="360"/>
      </w:pPr>
      <w:r>
        <w:rPr>
          <w:sz w:val="22"/>
        </w:rPr>
        <w:t>Determine whether the alert represents a confirmed incident, a policy exception, a false positive, or an acceptable risk</w:t>
      </w:r>
    </w:p>
    <w:p>
      <w:pPr>
        <w:pStyle w:val="ListBullet"/>
        <w:ind w:left="360"/>
      </w:pPr>
      <w:r>
        <w:rPr>
          <w:sz w:val="22"/>
        </w:rPr>
        <w:t>Engage the data owner and the user where appropriate</w:t>
      </w:r>
    </w:p>
    <w:p>
      <w:pPr>
        <w:pStyle w:val="ListBullet"/>
        <w:ind w:left="360"/>
      </w:pPr>
      <w:r>
        <w:rPr>
          <w:sz w:val="22"/>
        </w:rPr>
        <w:t>Preserve evidence for confirmed incidents</w:t>
      </w:r>
    </w:p>
    <w:p>
      <w:pPr>
        <w:spacing w:before="240" w:after="80"/>
      </w:pPr>
      <w:r>
        <w:rPr>
          <w:b/>
          <w:sz w:val="22"/>
        </w:rPr>
        <w:t>3.4.4  Respond to Confirmed Incidents</w:t>
      </w:r>
    </w:p>
    <w:p>
      <w:pPr>
        <w:pStyle w:val="ListBullet"/>
        <w:ind w:left="360"/>
      </w:pPr>
      <w:r>
        <w:rPr>
          <w:sz w:val="22"/>
        </w:rPr>
        <w:t>Escalate confirmed incidents through the Incident Management Procedure</w:t>
      </w:r>
    </w:p>
    <w:p>
      <w:pPr>
        <w:pStyle w:val="ListBullet"/>
        <w:ind w:left="360"/>
      </w:pPr>
      <w:r>
        <w:rPr>
          <w:sz w:val="22"/>
        </w:rPr>
        <w:t>Apply containment actions such as recall, block, or account suspension as required</w:t>
      </w:r>
    </w:p>
    <w:p>
      <w:pPr>
        <w:pStyle w:val="ListBullet"/>
        <w:ind w:left="360"/>
      </w:pPr>
      <w:r>
        <w:rPr>
          <w:sz w:val="22"/>
        </w:rPr>
        <w:t>Notify affected stakeholders in line with policy</w:t>
      </w:r>
    </w:p>
    <w:p>
      <w:pPr>
        <w:spacing w:before="240" w:after="80"/>
      </w:pPr>
      <w:r>
        <w:rPr>
          <w:b/>
          <w:sz w:val="22"/>
        </w:rPr>
        <w:t>3.4.5  Tune and Improve</w:t>
      </w:r>
    </w:p>
    <w:p>
      <w:pPr>
        <w:pStyle w:val="ListBullet"/>
        <w:ind w:left="360"/>
      </w:pPr>
      <w:r>
        <w:rPr>
          <w:sz w:val="22"/>
        </w:rPr>
        <w:t>Capture false positive rates and tune rules to reduce noise without losing coverage</w:t>
      </w:r>
    </w:p>
    <w:p>
      <w:pPr>
        <w:pStyle w:val="ListBullet"/>
        <w:ind w:left="360"/>
      </w:pPr>
      <w:r>
        <w:rPr>
          <w:sz w:val="22"/>
        </w:rPr>
        <w:t>Conduct periodic effectiveness reviews and report metrics to the Information Security Manager</w:t>
      </w:r>
    </w:p>
    <w:p>
      <w:pPr>
        <w:spacing w:before="240" w:after="80"/>
      </w:pPr>
      <w:r>
        <w:rPr>
          <w:b/>
          <w:sz w:val="24"/>
        </w:rPr>
        <w:t>3.5  Records and Evidence</w:t>
      </w:r>
    </w:p>
    <w:p>
      <w:pPr>
        <w:pStyle w:val="ListBullet"/>
        <w:ind w:left="360"/>
      </w:pPr>
      <w:r>
        <w:rPr>
          <w:sz w:val="22"/>
        </w:rPr>
        <w:t>Alert triage records</w:t>
      </w:r>
    </w:p>
    <w:p>
      <w:pPr>
        <w:pStyle w:val="ListBullet"/>
        <w:ind w:left="360"/>
      </w:pPr>
      <w:r>
        <w:rPr>
          <w:sz w:val="22"/>
        </w:rPr>
        <w:t>Rule change records</w:t>
      </w:r>
    </w:p>
    <w:p>
      <w:pPr>
        <w:pStyle w:val="ListBullet"/>
        <w:ind w:left="360"/>
      </w:pPr>
      <w:r>
        <w:rPr>
          <w:sz w:val="22"/>
        </w:rPr>
        <w:t>Incident records linked to DLP alerts</w:t>
      </w:r>
    </w:p>
    <w:p>
      <w:pPr>
        <w:pStyle w:val="ListBullet"/>
        <w:ind w:left="360"/>
      </w:pPr>
      <w:r>
        <w:rPr>
          <w:sz w:val="22"/>
        </w:rPr>
        <w:t>Monthly DLP metrics</w:t>
      </w:r>
    </w:p>
    <w:p>
      <w:pPr>
        <w:spacing w:before="240" w:after="80"/>
      </w:pPr>
      <w:r>
        <w:rPr>
          <w:b/>
          <w:sz w:val="24"/>
        </w:rPr>
        <w:t>3.6  Related Documents</w:t>
      </w:r>
    </w:p>
    <w:p>
      <w:pPr>
        <w:pStyle w:val="ListBullet"/>
        <w:ind w:left="360"/>
      </w:pPr>
      <w:r>
        <w:rPr>
          <w:sz w:val="22"/>
        </w:rPr>
        <w:t>Data Loss Prevention Policy</w:t>
      </w:r>
    </w:p>
    <w:p>
      <w:pPr>
        <w:pStyle w:val="ListBullet"/>
        <w:ind w:left="360"/>
      </w:pPr>
      <w:r>
        <w:rPr>
          <w:sz w:val="22"/>
        </w:rPr>
        <w:t>Incident Reporting Procedure</w:t>
      </w:r>
    </w:p>
    <w:p>
      <w:pPr>
        <w:pStyle w:val="ListBullet"/>
        <w:ind w:left="360"/>
      </w:pPr>
      <w:r>
        <w:rPr>
          <w:sz w:val="22"/>
        </w:rPr>
        <w:t>Data Classification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8.12 - Data leakage prevention</w:t>
      </w:r>
    </w:p>
    <w:p>
      <w:pPr>
        <w:pStyle w:val="ListBullet"/>
        <w:ind w:left="360"/>
      </w:pPr>
      <w:r>
        <w:rPr>
          <w:sz w:val="22"/>
        </w:rPr>
        <w:t>8.16 - Monitoring activities</w:t>
      </w:r>
    </w:p>
    <w:p>
      <w:pPr>
        <w:pStyle w:val="ListBullet"/>
        <w:ind w:left="360"/>
      </w:pPr>
      <w:r>
        <w:rPr>
          <w:sz w:val="22"/>
        </w:rPr>
        <w:t>5.14 - Information transfer</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