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CONFIGURATION MANAGEMENT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Configuration Management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Configuration Management Procedure</w:t>
      </w:r>
    </w:p>
    <w:p>
      <w:pPr>
        <w:spacing w:before="240" w:after="80"/>
      </w:pPr>
      <w:r>
        <w:rPr>
          <w:b/>
          <w:sz w:val="24"/>
        </w:rPr>
        <w:t>3.1  Purpose</w:t>
      </w:r>
    </w:p>
    <w:p>
      <w:pPr>
        <w:spacing w:before="40" w:after="120" w:line="280" w:lineRule="exact"/>
      </w:pPr>
      <w:r>
        <w:rPr>
          <w:sz w:val="22"/>
        </w:rPr>
        <w:t>This procedure defines how configuration items are identified, controlled, documented, and audited throughout their lifecycle. It supports the integrity, security, and traceability of changes to information systems.</w:t>
      </w:r>
    </w:p>
    <w:p>
      <w:pPr>
        <w:spacing w:before="240" w:after="80"/>
      </w:pPr>
      <w:r>
        <w:rPr>
          <w:b/>
          <w:sz w:val="24"/>
        </w:rPr>
        <w:t>3.2  Scope</w:t>
      </w:r>
    </w:p>
    <w:p>
      <w:pPr>
        <w:spacing w:before="40" w:after="120" w:line="280" w:lineRule="exact"/>
      </w:pPr>
      <w:r>
        <w:rPr>
          <w:sz w:val="22"/>
        </w:rPr>
        <w:t>This procedure applies to all configuration items including hardware, software, network components, applications, and infrastructure-as-code definitions managed by or on behalf of the organisation.</w:t>
      </w:r>
    </w:p>
    <w:p>
      <w:pPr>
        <w:spacing w:before="240" w:after="80"/>
      </w:pPr>
      <w:r>
        <w:rPr>
          <w:b/>
          <w:sz w:val="24"/>
        </w:rPr>
        <w:t>3.3  Pre-requisites</w:t>
      </w:r>
    </w:p>
    <w:p>
      <w:pPr>
        <w:pStyle w:val="ListBullet"/>
        <w:ind w:left="360"/>
      </w:pPr>
      <w:r>
        <w:rPr>
          <w:sz w:val="22"/>
        </w:rPr>
        <w:t>Configuration management database (CMDB) or equivalent record system</w:t>
      </w:r>
    </w:p>
    <w:p>
      <w:pPr>
        <w:pStyle w:val="ListBullet"/>
        <w:ind w:left="360"/>
      </w:pPr>
      <w:r>
        <w:rPr>
          <w:sz w:val="22"/>
        </w:rPr>
        <w:t>Defined configuration baselines per system class</w:t>
      </w:r>
    </w:p>
    <w:p>
      <w:pPr>
        <w:pStyle w:val="ListBullet"/>
        <w:ind w:left="360"/>
      </w:pPr>
      <w:r>
        <w:rPr>
          <w:sz w:val="22"/>
        </w:rPr>
        <w:t>Change management process operational</w:t>
      </w:r>
    </w:p>
    <w:p>
      <w:pPr>
        <w:spacing w:before="240" w:after="80"/>
      </w:pPr>
      <w:r>
        <w:rPr>
          <w:b/>
          <w:sz w:val="24"/>
        </w:rPr>
        <w:t>3.4  Procedure</w:t>
      </w:r>
    </w:p>
    <w:p>
      <w:pPr>
        <w:spacing w:before="240" w:after="80"/>
      </w:pPr>
      <w:r>
        <w:rPr>
          <w:b/>
          <w:sz w:val="22"/>
        </w:rPr>
        <w:t>3.4.1  Identify Configuration Items</w:t>
      </w:r>
    </w:p>
    <w:p>
      <w:pPr>
        <w:pStyle w:val="ListBullet"/>
        <w:ind w:left="360"/>
      </w:pPr>
      <w:r>
        <w:rPr>
          <w:sz w:val="22"/>
        </w:rPr>
        <w:t>Define what constitutes a configuration item for each class of system</w:t>
      </w:r>
    </w:p>
    <w:p>
      <w:pPr>
        <w:pStyle w:val="ListBullet"/>
        <w:ind w:left="360"/>
      </w:pPr>
      <w:r>
        <w:rPr>
          <w:sz w:val="22"/>
        </w:rPr>
        <w:t>Record each configuration item in the CMDB with its attributes, owner, and relationships</w:t>
      </w:r>
    </w:p>
    <w:p>
      <w:pPr>
        <w:spacing w:before="240" w:after="80"/>
      </w:pPr>
      <w:r>
        <w:rPr>
          <w:b/>
          <w:sz w:val="22"/>
        </w:rPr>
        <w:t>3.4.2  Establish Baselines</w:t>
      </w:r>
    </w:p>
    <w:p>
      <w:pPr>
        <w:pStyle w:val="ListBullet"/>
        <w:ind w:left="360"/>
      </w:pPr>
      <w:r>
        <w:rPr>
          <w:sz w:val="22"/>
        </w:rPr>
        <w:t>Document the approved baseline configuration for each system class in the Configuration Baseline Template</w:t>
      </w:r>
    </w:p>
    <w:p>
      <w:pPr>
        <w:pStyle w:val="ListBullet"/>
        <w:ind w:left="360"/>
      </w:pPr>
      <w:r>
        <w:rPr>
          <w:sz w:val="22"/>
        </w:rPr>
        <w:t>Approve baselines through the relevant governance forum</w:t>
      </w:r>
    </w:p>
    <w:p>
      <w:pPr>
        <w:spacing w:before="240" w:after="80"/>
      </w:pPr>
      <w:r>
        <w:rPr>
          <w:b/>
          <w:sz w:val="22"/>
        </w:rPr>
        <w:t>3.4.3  Apply and Maintain Baselines</w:t>
      </w:r>
    </w:p>
    <w:p>
      <w:pPr>
        <w:pStyle w:val="ListBullet"/>
        <w:ind w:left="360"/>
      </w:pPr>
      <w:r>
        <w:rPr>
          <w:sz w:val="22"/>
        </w:rPr>
        <w:t>Configure new systems against the approved baseline before production use</w:t>
      </w:r>
    </w:p>
    <w:p>
      <w:pPr>
        <w:pStyle w:val="ListBullet"/>
        <w:ind w:left="360"/>
      </w:pPr>
      <w:r>
        <w:rPr>
          <w:sz w:val="22"/>
        </w:rPr>
        <w:t>Apply baseline updates through change management</w:t>
      </w:r>
    </w:p>
    <w:p>
      <w:pPr>
        <w:pStyle w:val="ListBullet"/>
        <w:ind w:left="360"/>
      </w:pPr>
      <w:r>
        <w:rPr>
          <w:sz w:val="22"/>
        </w:rPr>
        <w:t>Use automated configuration management tools where practicable</w:t>
      </w:r>
    </w:p>
    <w:p>
      <w:pPr>
        <w:spacing w:before="240" w:after="80"/>
      </w:pPr>
      <w:r>
        <w:rPr>
          <w:b/>
          <w:sz w:val="22"/>
        </w:rPr>
        <w:t>3.4.4  Control Changes</w:t>
      </w:r>
    </w:p>
    <w:p>
      <w:pPr>
        <w:pStyle w:val="ListBullet"/>
        <w:ind w:left="360"/>
      </w:pPr>
      <w:r>
        <w:rPr>
          <w:sz w:val="22"/>
        </w:rPr>
        <w:t>Process changes to configuration items through the Change Management Policy</w:t>
      </w:r>
    </w:p>
    <w:p>
      <w:pPr>
        <w:pStyle w:val="ListBullet"/>
        <w:ind w:left="360"/>
      </w:pPr>
      <w:r>
        <w:rPr>
          <w:sz w:val="22"/>
        </w:rPr>
        <w:t>Update the CMDB to reflect approved changes</w:t>
      </w:r>
    </w:p>
    <w:p>
      <w:pPr>
        <w:spacing w:before="240" w:after="80"/>
      </w:pPr>
      <w:r>
        <w:rPr>
          <w:b/>
          <w:sz w:val="22"/>
        </w:rPr>
        <w:t>3.4.5  Detect and Remediate Drift</w:t>
      </w:r>
    </w:p>
    <w:p>
      <w:pPr>
        <w:pStyle w:val="ListBullet"/>
        <w:ind w:left="360"/>
      </w:pPr>
      <w:r>
        <w:rPr>
          <w:sz w:val="22"/>
        </w:rPr>
        <w:t>Run periodic configuration audits to detect drift from baseline</w:t>
      </w:r>
    </w:p>
    <w:p>
      <w:pPr>
        <w:pStyle w:val="ListBullet"/>
        <w:ind w:left="360"/>
      </w:pPr>
      <w:r>
        <w:rPr>
          <w:sz w:val="22"/>
        </w:rPr>
        <w:t>Investigate drift to determine whether it is authorised, an error, or a security event</w:t>
      </w:r>
    </w:p>
    <w:p>
      <w:pPr>
        <w:pStyle w:val="ListBullet"/>
        <w:ind w:left="360"/>
      </w:pPr>
      <w:r>
        <w:rPr>
          <w:sz w:val="22"/>
        </w:rPr>
        <w:t>Remediate unauthorised drift and address root causes</w:t>
      </w:r>
    </w:p>
    <w:p>
      <w:pPr>
        <w:spacing w:before="240" w:after="80"/>
      </w:pPr>
      <w:r>
        <w:rPr>
          <w:b/>
          <w:sz w:val="22"/>
        </w:rPr>
        <w:t>3.4.6  Report and Improve</w:t>
      </w:r>
    </w:p>
    <w:p>
      <w:pPr>
        <w:pStyle w:val="ListBullet"/>
        <w:ind w:left="360"/>
      </w:pPr>
      <w:r>
        <w:rPr>
          <w:sz w:val="22"/>
        </w:rPr>
        <w:t>Report configuration compliance metrics to management</w:t>
      </w:r>
    </w:p>
    <w:p>
      <w:pPr>
        <w:pStyle w:val="ListBullet"/>
        <w:ind w:left="360"/>
      </w:pPr>
      <w:r>
        <w:rPr>
          <w:sz w:val="22"/>
        </w:rPr>
        <w:t>Use trends to drive improvements in baselines and tooling</w:t>
      </w:r>
    </w:p>
    <w:p>
      <w:pPr>
        <w:spacing w:before="240" w:after="80"/>
      </w:pPr>
      <w:r>
        <w:rPr>
          <w:b/>
          <w:sz w:val="24"/>
        </w:rPr>
        <w:t>3.5  Records and Evidence</w:t>
      </w:r>
    </w:p>
    <w:p>
      <w:pPr>
        <w:pStyle w:val="ListBullet"/>
        <w:ind w:left="360"/>
      </w:pPr>
      <w:r>
        <w:rPr>
          <w:sz w:val="22"/>
        </w:rPr>
        <w:t>Configuration management database</w:t>
      </w:r>
    </w:p>
    <w:p>
      <w:pPr>
        <w:pStyle w:val="ListBullet"/>
        <w:ind w:left="360"/>
      </w:pPr>
      <w:r>
        <w:rPr>
          <w:sz w:val="22"/>
        </w:rPr>
        <w:t>Baseline documents</w:t>
      </w:r>
    </w:p>
    <w:p>
      <w:pPr>
        <w:pStyle w:val="ListBullet"/>
        <w:ind w:left="360"/>
      </w:pPr>
      <w:r>
        <w:rPr>
          <w:sz w:val="22"/>
        </w:rPr>
        <w:t>Configuration audit reports</w:t>
      </w:r>
    </w:p>
    <w:p>
      <w:pPr>
        <w:pStyle w:val="ListBullet"/>
        <w:ind w:left="360"/>
      </w:pPr>
      <w:r>
        <w:rPr>
          <w:sz w:val="22"/>
        </w:rPr>
        <w:t>Change records</w:t>
      </w:r>
    </w:p>
    <w:p>
      <w:pPr>
        <w:spacing w:before="240" w:after="80"/>
      </w:pPr>
      <w:r>
        <w:rPr>
          <w:b/>
          <w:sz w:val="24"/>
        </w:rPr>
        <w:t>3.6  Related Documents</w:t>
      </w:r>
    </w:p>
    <w:p>
      <w:pPr>
        <w:pStyle w:val="ListBullet"/>
        <w:ind w:left="360"/>
      </w:pPr>
      <w:r>
        <w:rPr>
          <w:sz w:val="22"/>
        </w:rPr>
        <w:t>Change Management Policy</w:t>
      </w:r>
    </w:p>
    <w:p>
      <w:pPr>
        <w:pStyle w:val="ListBullet"/>
        <w:ind w:left="360"/>
      </w:pPr>
      <w:r>
        <w:rPr>
          <w:sz w:val="22"/>
        </w:rPr>
        <w:t>Information System Protection Policy</w:t>
      </w:r>
    </w:p>
    <w:p>
      <w:pPr>
        <w:pStyle w:val="ListBullet"/>
        <w:ind w:left="360"/>
      </w:pPr>
      <w:r>
        <w:rPr>
          <w:sz w:val="22"/>
        </w:rPr>
        <w:t>Configuration Baseline Template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8.9 - Configuration management</w:t>
      </w:r>
    </w:p>
    <w:p>
      <w:pPr>
        <w:pStyle w:val="ListBullet"/>
        <w:ind w:left="360"/>
      </w:pPr>
      <w:r>
        <w:rPr>
          <w:sz w:val="22"/>
        </w:rPr>
        <w:t>8.32 - Change management</w:t>
      </w:r>
    </w:p>
    <w:p>
      <w:pPr>
        <w:pStyle w:val="ListBullet"/>
        <w:ind w:left="360"/>
      </w:pPr>
      <w:r>
        <w:rPr>
          <w:sz w:val="22"/>
        </w:rPr>
        <w:t>8.27 - Secure system architecture and engineering principles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