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ASSET DESTRUCTION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Asset Destruction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Asset Destruction Procedure</w:t>
      </w:r>
    </w:p>
    <w:p>
      <w:pPr>
        <w:spacing w:before="240" w:after="80"/>
      </w:pPr>
      <w:r>
        <w:rPr>
          <w:b/>
          <w:sz w:val="24"/>
        </w:rPr>
        <w:t>3.1  Purpose</w:t>
      </w:r>
    </w:p>
    <w:p>
      <w:pPr>
        <w:spacing w:before="40" w:after="120" w:line="280" w:lineRule="exact"/>
      </w:pPr>
      <w:r>
        <w:rPr>
          <w:sz w:val="22"/>
        </w:rPr>
        <w:t>This procedure defines the process for securely destroying information assets when they are no longer required, to prevent unauthorised data recovery. It applies to electronic and physical assets containing organisational information.</w:t>
      </w:r>
    </w:p>
    <w:p>
      <w:pPr>
        <w:spacing w:before="240" w:after="80"/>
      </w:pPr>
      <w:r>
        <w:rPr>
          <w:b/>
          <w:sz w:val="24"/>
        </w:rPr>
        <w:t>3.2  Scope</w:t>
      </w:r>
    </w:p>
    <w:p>
      <w:pPr>
        <w:spacing w:before="40" w:after="120" w:line="280" w:lineRule="exact"/>
      </w:pPr>
      <w:r>
        <w:rPr>
          <w:sz w:val="22"/>
        </w:rPr>
        <w:t>This procedure applies to all assets containing organisational information that have reached end-of-life, are being disposed of, or are being transferred outside the organisation's control.</w:t>
      </w:r>
    </w:p>
    <w:p>
      <w:pPr>
        <w:spacing w:before="240" w:after="80"/>
      </w:pPr>
      <w:r>
        <w:rPr>
          <w:b/>
          <w:sz w:val="24"/>
        </w:rPr>
        <w:t>3.3  Pre-requisites</w:t>
      </w:r>
    </w:p>
    <w:p>
      <w:pPr>
        <w:pStyle w:val="ListBullet"/>
        <w:ind w:left="360"/>
      </w:pPr>
      <w:r>
        <w:rPr>
          <w:sz w:val="22"/>
        </w:rPr>
        <w:t>Asset identified for destruction by the Asset Owner</w:t>
      </w:r>
    </w:p>
    <w:p>
      <w:pPr>
        <w:pStyle w:val="ListBullet"/>
        <w:ind w:left="360"/>
      </w:pPr>
      <w:r>
        <w:rPr>
          <w:sz w:val="22"/>
        </w:rPr>
        <w:t>Approved destruction methods documented</w:t>
      </w:r>
    </w:p>
    <w:p>
      <w:pPr>
        <w:pStyle w:val="ListBullet"/>
        <w:ind w:left="360"/>
      </w:pPr>
      <w:r>
        <w:rPr>
          <w:sz w:val="22"/>
        </w:rPr>
        <w:t>Certified destruction provider engaged where required</w:t>
      </w:r>
    </w:p>
    <w:p>
      <w:pPr>
        <w:spacing w:before="240" w:after="80"/>
      </w:pPr>
      <w:r>
        <w:rPr>
          <w:b/>
          <w:sz w:val="24"/>
        </w:rPr>
        <w:t>3.4  Procedure</w:t>
      </w:r>
    </w:p>
    <w:p>
      <w:pPr>
        <w:spacing w:before="240" w:after="80"/>
      </w:pPr>
      <w:r>
        <w:rPr>
          <w:b/>
          <w:sz w:val="22"/>
        </w:rPr>
        <w:t>3.4.1  Identify Assets for Destruction</w:t>
      </w:r>
    </w:p>
    <w:p>
      <w:pPr>
        <w:pStyle w:val="ListBullet"/>
        <w:ind w:left="360"/>
      </w:pPr>
      <w:r>
        <w:rPr>
          <w:sz w:val="22"/>
        </w:rPr>
        <w:t>Confirm the asset is no longer required and is not subject to a legal hold</w:t>
      </w:r>
    </w:p>
    <w:p>
      <w:pPr>
        <w:pStyle w:val="ListBullet"/>
        <w:ind w:left="360"/>
      </w:pPr>
      <w:r>
        <w:rPr>
          <w:sz w:val="22"/>
        </w:rPr>
        <w:t>Determine the data classification of information held on or in the asset</w:t>
      </w:r>
    </w:p>
    <w:p>
      <w:pPr>
        <w:spacing w:before="240" w:after="80"/>
      </w:pPr>
      <w:r>
        <w:rPr>
          <w:b/>
          <w:sz w:val="22"/>
        </w:rPr>
        <w:t>3.4.2  Select Destruction Method</w:t>
      </w:r>
    </w:p>
    <w:p>
      <w:pPr>
        <w:pStyle w:val="ListBullet"/>
        <w:ind w:left="360"/>
      </w:pPr>
      <w:r>
        <w:rPr>
          <w:sz w:val="22"/>
        </w:rPr>
        <w:t>For electronic media containing Internal data, secure wipe is acceptable</w:t>
      </w:r>
    </w:p>
    <w:p>
      <w:pPr>
        <w:pStyle w:val="ListBullet"/>
        <w:ind w:left="360"/>
      </w:pPr>
      <w:r>
        <w:rPr>
          <w:sz w:val="22"/>
        </w:rPr>
        <w:t>For media containing Confidential or Restricted data, cryptographic erasure followed by physical destruction is required</w:t>
      </w:r>
    </w:p>
    <w:p>
      <w:pPr>
        <w:pStyle w:val="ListBullet"/>
        <w:ind w:left="360"/>
      </w:pPr>
      <w:r>
        <w:rPr>
          <w:sz w:val="22"/>
        </w:rPr>
        <w:t>Paper documents must be cross-cut shredded or incinerated</w:t>
      </w:r>
    </w:p>
    <w:p>
      <w:pPr>
        <w:pStyle w:val="ListBullet"/>
        <w:ind w:left="360"/>
      </w:pPr>
      <w:r>
        <w:rPr>
          <w:sz w:val="22"/>
        </w:rPr>
        <w:t>Items that cannot be sanitised must be physically destroyed</w:t>
      </w:r>
    </w:p>
    <w:p>
      <w:pPr>
        <w:spacing w:before="240" w:after="80"/>
      </w:pPr>
      <w:r>
        <w:rPr>
          <w:b/>
          <w:sz w:val="22"/>
        </w:rPr>
        <w:t>3.4.3  Execute Destruction</w:t>
      </w:r>
    </w:p>
    <w:p>
      <w:pPr>
        <w:pStyle w:val="ListBullet"/>
        <w:ind w:left="360"/>
      </w:pPr>
      <w:r>
        <w:rPr>
          <w:sz w:val="22"/>
        </w:rPr>
        <w:t>Carry out destruction at an approved facility or in the presence of an authorised witness</w:t>
      </w:r>
    </w:p>
    <w:p>
      <w:pPr>
        <w:pStyle w:val="ListBullet"/>
        <w:ind w:left="360"/>
      </w:pPr>
      <w:r>
        <w:rPr>
          <w:sz w:val="22"/>
        </w:rPr>
        <w:t>Where third-party destruction services are used, obtain a certificate of destruction</w:t>
      </w:r>
    </w:p>
    <w:p>
      <w:pPr>
        <w:pStyle w:val="ListBullet"/>
        <w:ind w:left="360"/>
      </w:pPr>
      <w:r>
        <w:rPr>
          <w:sz w:val="22"/>
        </w:rPr>
        <w:t>Photograph destruction of high-value or sensitive items where required by policy</w:t>
      </w:r>
    </w:p>
    <w:p>
      <w:pPr>
        <w:spacing w:before="240" w:after="80"/>
      </w:pPr>
      <w:r>
        <w:rPr>
          <w:b/>
          <w:sz w:val="22"/>
        </w:rPr>
        <w:t>3.4.4  Record Destruction</w:t>
      </w:r>
    </w:p>
    <w:p>
      <w:pPr>
        <w:pStyle w:val="ListBullet"/>
        <w:ind w:left="360"/>
      </w:pPr>
      <w:r>
        <w:rPr>
          <w:sz w:val="22"/>
        </w:rPr>
        <w:t>Update the Asset Management Register to mark the asset as destroyed</w:t>
      </w:r>
    </w:p>
    <w:p>
      <w:pPr>
        <w:pStyle w:val="ListBullet"/>
        <w:ind w:left="360"/>
      </w:pPr>
      <w:r>
        <w:rPr>
          <w:sz w:val="22"/>
        </w:rPr>
        <w:t>Retain destruction certificates and witness statements</w:t>
      </w:r>
    </w:p>
    <w:p>
      <w:pPr>
        <w:pStyle w:val="ListBullet"/>
        <w:ind w:left="360"/>
      </w:pPr>
      <w:r>
        <w:rPr>
          <w:sz w:val="22"/>
        </w:rPr>
        <w:t>Communicate the disposal to the Asset Owner and Finance</w:t>
      </w:r>
    </w:p>
    <w:p>
      <w:pPr>
        <w:spacing w:before="240" w:after="80"/>
      </w:pPr>
      <w:r>
        <w:rPr>
          <w:b/>
          <w:sz w:val="24"/>
        </w:rPr>
        <w:t>3.5  Records and Evidence</w:t>
      </w:r>
    </w:p>
    <w:p>
      <w:pPr>
        <w:pStyle w:val="ListBullet"/>
        <w:ind w:left="360"/>
      </w:pPr>
      <w:r>
        <w:rPr>
          <w:sz w:val="22"/>
        </w:rPr>
        <w:t>Destruction request and approval</w:t>
      </w:r>
    </w:p>
    <w:p>
      <w:pPr>
        <w:pStyle w:val="ListBullet"/>
        <w:ind w:left="360"/>
      </w:pPr>
      <w:r>
        <w:rPr>
          <w:sz w:val="22"/>
        </w:rPr>
        <w:t>Certificates of destruction</w:t>
      </w:r>
    </w:p>
    <w:p>
      <w:pPr>
        <w:pStyle w:val="ListBullet"/>
        <w:ind w:left="360"/>
      </w:pPr>
      <w:r>
        <w:rPr>
          <w:sz w:val="22"/>
        </w:rPr>
        <w:t>Witness statements where applicable</w:t>
      </w:r>
    </w:p>
    <w:p>
      <w:pPr>
        <w:pStyle w:val="ListBullet"/>
        <w:ind w:left="360"/>
      </w:pPr>
      <w:r>
        <w:rPr>
          <w:sz w:val="22"/>
        </w:rPr>
        <w:t>Asset Management Register update</w:t>
      </w:r>
    </w:p>
    <w:p>
      <w:pPr>
        <w:spacing w:before="240" w:after="80"/>
      </w:pPr>
      <w:r>
        <w:rPr>
          <w:b/>
          <w:sz w:val="24"/>
        </w:rPr>
        <w:t>3.6  Related Documents</w:t>
      </w:r>
    </w:p>
    <w:p>
      <w:pPr>
        <w:pStyle w:val="ListBullet"/>
        <w:ind w:left="360"/>
      </w:pPr>
      <w:r>
        <w:rPr>
          <w:sz w:val="22"/>
        </w:rPr>
        <w:t>Equipment Decommissioning Procedure</w:t>
      </w:r>
    </w:p>
    <w:p>
      <w:pPr>
        <w:pStyle w:val="ListBullet"/>
        <w:ind w:left="360"/>
      </w:pPr>
      <w:r>
        <w:rPr>
          <w:sz w:val="22"/>
        </w:rPr>
        <w:t>Media Handling Procedure</w:t>
      </w:r>
    </w:p>
    <w:p>
      <w:pPr>
        <w:pStyle w:val="ListBullet"/>
        <w:ind w:left="360"/>
      </w:pPr>
      <w:r>
        <w:rPr>
          <w:sz w:val="22"/>
        </w:rPr>
        <w:t>Asset Management Register</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7.14 - Secure disposal or re-use of equipment</w:t>
      </w:r>
    </w:p>
    <w:p>
      <w:pPr>
        <w:pStyle w:val="ListBullet"/>
        <w:ind w:left="360"/>
      </w:pPr>
      <w:r>
        <w:rPr>
          <w:sz w:val="22"/>
        </w:rPr>
        <w:t>7.10 - Storage media</w:t>
      </w:r>
    </w:p>
    <w:p>
      <w:pPr>
        <w:pStyle w:val="ListBullet"/>
        <w:ind w:left="360"/>
      </w:pPr>
      <w:r>
        <w:rPr>
          <w:sz w:val="22"/>
        </w:rPr>
        <w:t>8.10 - Information deletion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