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SECURITY VIOLATIONS DISCIPLINARY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Security Violations Disciplinary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Security Violations Disciplinary Policy</w:t>
      </w:r>
    </w:p>
    <w:p>
      <w:pPr>
        <w:spacing w:before="240" w:after="80"/>
      </w:pPr>
      <w:r>
        <w:rPr>
          <w:b/>
          <w:sz w:val="24"/>
        </w:rPr>
        <w:t>3.1  Purpose</w:t>
      </w:r>
    </w:p>
    <w:p>
      <w:pPr>
        <w:spacing w:before="40" w:after="120" w:line="280" w:lineRule="exact"/>
      </w:pPr>
      <w:r>
        <w:rPr>
          <w:sz w:val="22"/>
        </w:rPr>
        <w:t>This policy defines the formal disciplinary process that will be followed when an employee, contractor, or third-party user is found to have committed an information security policy violation. It ensures that violations are handled consistently, fairly, and proportionately, and that disciplinary outcomes act as both a deterrent and a corrective mechanism.</w:t>
      </w:r>
    </w:p>
    <w:p>
      <w:pPr>
        <w:spacing w:before="240" w:after="80"/>
      </w:pPr>
      <w:r>
        <w:rPr>
          <w:b/>
          <w:sz w:val="24"/>
        </w:rPr>
        <w:t>3.2  Scope</w:t>
      </w:r>
    </w:p>
    <w:p>
      <w:pPr>
        <w:spacing w:before="40" w:after="120" w:line="280" w:lineRule="exact"/>
      </w:pPr>
      <w:r>
        <w:rPr>
          <w:sz w:val="22"/>
        </w:rPr>
        <w:t>This policy applies to all employees, contractors, temporary staff, and third-party users who access organisational information systems or handle organisational information assets.</w:t>
      </w:r>
    </w:p>
    <w:p>
      <w:pPr>
        <w:spacing w:before="240" w:after="80"/>
      </w:pPr>
      <w:r>
        <w:rPr>
          <w:b/>
          <w:sz w:val="24"/>
        </w:rPr>
        <w:t>3.3  Definitions</w:t>
      </w:r>
    </w:p>
    <w:p>
      <w:pPr>
        <w:spacing w:before="60" w:after="60"/>
      </w:pPr>
      <w:r>
        <w:rPr>
          <w:b/>
          <w:sz w:val="22"/>
        </w:rPr>
        <w:t xml:space="preserve">Security Violation: </w:t>
      </w:r>
      <w:r>
        <w:rPr>
          <w:sz w:val="22"/>
        </w:rPr>
        <w:t>Any act or omission that breaches an information security policy, standard, or procedure, whether intentional or negligent</w:t>
      </w:r>
    </w:p>
    <w:p>
      <w:pPr>
        <w:spacing w:before="60" w:after="60"/>
      </w:pPr>
      <w:r>
        <w:rPr>
          <w:b/>
          <w:sz w:val="22"/>
        </w:rPr>
        <w:t xml:space="preserve">Minor Violation: </w:t>
      </w:r>
      <w:r>
        <w:rPr>
          <w:sz w:val="22"/>
        </w:rPr>
        <w:t>A breach with limited impact that is typically addressed through coaching or written warning</w:t>
      </w:r>
    </w:p>
    <w:p>
      <w:pPr>
        <w:spacing w:before="60" w:after="60"/>
      </w:pPr>
      <w:r>
        <w:rPr>
          <w:b/>
          <w:sz w:val="22"/>
        </w:rPr>
        <w:t xml:space="preserve">Major Violation: </w:t>
      </w:r>
      <w:r>
        <w:rPr>
          <w:sz w:val="22"/>
        </w:rPr>
        <w:t>A breach that causes or could have caused significant harm, including data loss, financial impact, or reputational damage</w:t>
      </w:r>
    </w:p>
    <w:p>
      <w:pPr>
        <w:spacing w:before="60" w:after="60"/>
      </w:pPr>
      <w:r>
        <w:rPr>
          <w:b/>
          <w:sz w:val="22"/>
        </w:rPr>
        <w:t xml:space="preserve">Gross Misconduct: </w:t>
      </w:r>
      <w:r>
        <w:rPr>
          <w:sz w:val="22"/>
        </w:rPr>
        <w:t>A violation so serious that it justifies summary dismissal without notice or pay in lieu of notice</w:t>
      </w:r>
    </w:p>
    <w:p>
      <w:pPr>
        <w:spacing w:before="240" w:after="80"/>
      </w:pPr>
      <w:r>
        <w:rPr>
          <w:b/>
          <w:sz w:val="24"/>
        </w:rPr>
        <w:t>3.4  Policy Requirements</w:t>
      </w:r>
    </w:p>
    <w:p>
      <w:pPr>
        <w:spacing w:before="240" w:after="80"/>
      </w:pPr>
      <w:r>
        <w:rPr>
          <w:b/>
          <w:sz w:val="22"/>
        </w:rPr>
        <w:t>Reporting and Investigation</w:t>
      </w:r>
    </w:p>
    <w:p>
      <w:pPr>
        <w:pStyle w:val="ListBullet"/>
        <w:ind w:left="360"/>
      </w:pPr>
      <w:r>
        <w:rPr>
          <w:sz w:val="22"/>
        </w:rPr>
        <w:t>All suspected security violations must be reported to the Information Security Manager and to Human Resources</w:t>
      </w:r>
    </w:p>
    <w:p>
      <w:pPr>
        <w:pStyle w:val="ListBullet"/>
        <w:ind w:left="360"/>
      </w:pPr>
      <w:r>
        <w:rPr>
          <w:sz w:val="22"/>
        </w:rPr>
        <w:t>Investigations must be conducted promptly, fairly, and confidentially by individuals trained in handling such matters</w:t>
      </w:r>
    </w:p>
    <w:p>
      <w:pPr>
        <w:pStyle w:val="ListBullet"/>
        <w:ind w:left="360"/>
      </w:pPr>
      <w:r>
        <w:rPr>
          <w:sz w:val="22"/>
        </w:rPr>
        <w:t>Evidence must be collected and preserved in line with the Evidence Collection Procedure</w:t>
      </w:r>
    </w:p>
    <w:p>
      <w:pPr>
        <w:pStyle w:val="ListBullet"/>
        <w:ind w:left="360"/>
      </w:pPr>
      <w:r>
        <w:rPr>
          <w:sz w:val="22"/>
        </w:rPr>
        <w:t>The accused individual must be informed of the allegations and given an opportunity to respond before disciplinary action is taken</w:t>
      </w:r>
    </w:p>
    <w:p>
      <w:pPr>
        <w:spacing w:before="240" w:after="80"/>
      </w:pPr>
      <w:r>
        <w:rPr>
          <w:b/>
          <w:sz w:val="22"/>
        </w:rPr>
        <w:t>Classification of Violations</w:t>
      </w:r>
    </w:p>
    <w:p>
      <w:pPr>
        <w:pStyle w:val="ListBullet"/>
        <w:ind w:left="360"/>
      </w:pPr>
      <w:r>
        <w:rPr>
          <w:sz w:val="22"/>
        </w:rPr>
        <w:t>Minor violations include first-time procedural breaches with no harm, such as failure to lock a screen or sharing a non-sensitive document via personal email</w:t>
      </w:r>
    </w:p>
    <w:p>
      <w:pPr>
        <w:pStyle w:val="ListBullet"/>
        <w:ind w:left="360"/>
      </w:pPr>
      <w:r>
        <w:rPr>
          <w:sz w:val="22"/>
        </w:rPr>
        <w:t>Major violations include repeated breaches, sharing credentials, downloading prohibited software, or unauthorised access to information not required for the role</w:t>
      </w:r>
    </w:p>
    <w:p>
      <w:pPr>
        <w:pStyle w:val="ListBullet"/>
        <w:ind w:left="360"/>
      </w:pPr>
      <w:r>
        <w:rPr>
          <w:sz w:val="22"/>
        </w:rPr>
        <w:t>Gross misconduct includes intentional theft of data, deliberate unauthorised disclosure of confidential information, malicious damage to systems, or fraud</w:t>
      </w:r>
    </w:p>
    <w:p>
      <w:pPr>
        <w:spacing w:before="240" w:after="80"/>
      </w:pPr>
      <w:r>
        <w:rPr>
          <w:b/>
          <w:sz w:val="22"/>
        </w:rPr>
        <w:t>Disciplinary Outcomes</w:t>
      </w:r>
    </w:p>
    <w:p>
      <w:pPr>
        <w:pStyle w:val="ListBullet"/>
        <w:ind w:left="360"/>
      </w:pPr>
      <w:r>
        <w:rPr>
          <w:sz w:val="22"/>
        </w:rPr>
        <w:t>Minor violations: documented coaching, mandatory retraining, or written warning</w:t>
      </w:r>
    </w:p>
    <w:p>
      <w:pPr>
        <w:pStyle w:val="ListBullet"/>
        <w:ind w:left="360"/>
      </w:pPr>
      <w:r>
        <w:rPr>
          <w:sz w:val="22"/>
        </w:rPr>
        <w:t>Major violations: final written warning, demotion, or temporary suspension of system access pending review</w:t>
      </w:r>
    </w:p>
    <w:p>
      <w:pPr>
        <w:pStyle w:val="ListBullet"/>
        <w:ind w:left="360"/>
      </w:pPr>
      <w:r>
        <w:rPr>
          <w:sz w:val="22"/>
        </w:rPr>
        <w:t>Gross misconduct: termination of employment or contract, with potential referral to law enforcement and recovery of damages where applicable</w:t>
      </w:r>
    </w:p>
    <w:p>
      <w:pPr>
        <w:pStyle w:val="ListBullet"/>
        <w:ind w:left="360"/>
      </w:pPr>
      <w:r>
        <w:rPr>
          <w:sz w:val="22"/>
        </w:rPr>
        <w:t>All outcomes are subject to local employment law and contractual obligations</w:t>
      </w:r>
    </w:p>
    <w:p>
      <w:pPr>
        <w:spacing w:before="240" w:after="80"/>
      </w:pPr>
      <w:r>
        <w:rPr>
          <w:b/>
          <w:sz w:val="22"/>
        </w:rPr>
        <w:t>Appeal Process</w:t>
      </w:r>
    </w:p>
    <w:p>
      <w:pPr>
        <w:pStyle w:val="ListBullet"/>
        <w:ind w:left="360"/>
      </w:pPr>
      <w:r>
        <w:rPr>
          <w:sz w:val="22"/>
        </w:rPr>
        <w:t>Individuals subject to disciplinary action have the right to appeal in writing within ten business days of the outcome being communicated</w:t>
      </w:r>
    </w:p>
    <w:p>
      <w:pPr>
        <w:pStyle w:val="ListBullet"/>
        <w:ind w:left="360"/>
      </w:pPr>
      <w:r>
        <w:rPr>
          <w:sz w:val="22"/>
        </w:rPr>
        <w:t>Appeals will be heard by an individual senior to the original decision-maker who was not involved in the original investigation</w:t>
      </w:r>
    </w:p>
    <w:p>
      <w:pPr>
        <w:spacing w:before="240" w:after="80"/>
      </w:pPr>
      <w:r>
        <w:rPr>
          <w:b/>
          <w:sz w:val="24"/>
        </w:rPr>
        <w:t>3.5  Roles and Responsibilities</w:t>
      </w:r>
    </w:p>
    <w:p>
      <w:pPr>
        <w:spacing w:before="80"/>
      </w:pPr>
      <w:r>
        <w:rPr>
          <w:b/>
          <w:sz w:val="22"/>
        </w:rPr>
        <w:t xml:space="preserve">Information Security Manager: </w:t>
      </w:r>
      <w:r>
        <w:rPr>
          <w:sz w:val="22"/>
        </w:rPr>
        <w:t>Receives reports of suspected violations, supports investigation, and advises on security implications</w:t>
      </w:r>
    </w:p>
    <w:p>
      <w:pPr>
        <w:spacing w:before="80"/>
      </w:pPr>
      <w:r>
        <w:rPr>
          <w:b/>
          <w:sz w:val="22"/>
        </w:rPr>
        <w:t xml:space="preserve">Human Resources: </w:t>
      </w:r>
      <w:r>
        <w:rPr>
          <w:sz w:val="22"/>
        </w:rPr>
        <w:t>Leads the formal disciplinary process, ensures procedural fairness, and applies consistent outcomes</w:t>
      </w:r>
    </w:p>
    <w:p>
      <w:pPr>
        <w:spacing w:before="80"/>
      </w:pPr>
      <w:r>
        <w:rPr>
          <w:b/>
          <w:sz w:val="22"/>
        </w:rPr>
        <w:t xml:space="preserve">Line Manager: </w:t>
      </w:r>
      <w:r>
        <w:rPr>
          <w:sz w:val="22"/>
        </w:rPr>
        <w:t>Supports investigation, communicates outcomes, and monitors any required behavioural changes</w:t>
      </w:r>
    </w:p>
    <w:p>
      <w:pPr>
        <w:spacing w:before="80"/>
      </w:pPr>
      <w:r>
        <w:rPr>
          <w:b/>
          <w:sz w:val="22"/>
        </w:rPr>
        <w:t xml:space="preserve">Legal: </w:t>
      </w:r>
      <w:r>
        <w:rPr>
          <w:sz w:val="22"/>
        </w:rPr>
        <w:t>Provides advice on legal implications and represents the organisation in any external proceedings</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Acceptable Use Policy</w:t>
      </w:r>
    </w:p>
    <w:p>
      <w:pPr>
        <w:pStyle w:val="ListBullet"/>
        <w:ind w:left="360"/>
      </w:pPr>
      <w:r>
        <w:rPr>
          <w:sz w:val="22"/>
        </w:rPr>
        <w:t>Incident Management Procedure</w:t>
      </w:r>
    </w:p>
    <w:p>
      <w:pPr>
        <w:pStyle w:val="ListBullet"/>
        <w:ind w:left="360"/>
      </w:pPr>
      <w:r>
        <w:rPr>
          <w:sz w:val="22"/>
        </w:rPr>
        <w:t>Employee Handbook</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6.4 - Disciplinary process</w:t>
      </w:r>
    </w:p>
    <w:p>
      <w:pPr>
        <w:pStyle w:val="ListBullet"/>
        <w:ind w:left="360"/>
      </w:pPr>
      <w:r>
        <w:rPr>
          <w:sz w:val="22"/>
        </w:rPr>
        <w:t>5.24 - Information security incident management planning and preparation</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