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SECURE WORK AREA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Secure Work Area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Secure Work Area Policy</w:t>
      </w:r>
    </w:p>
    <w:p>
      <w:pPr>
        <w:spacing w:before="240" w:after="80"/>
      </w:pPr>
      <w:r>
        <w:rPr>
          <w:b/>
          <w:sz w:val="24"/>
        </w:rPr>
        <w:t>3.1  Purpose</w:t>
      </w:r>
    </w:p>
    <w:p>
      <w:pPr>
        <w:spacing w:before="40" w:after="120" w:line="280" w:lineRule="exact"/>
      </w:pPr>
      <w:r>
        <w:rPr>
          <w:sz w:val="22"/>
        </w:rPr>
        <w:t>This policy defines the physical and procedural controls that apply to designated secure work areas within the organisation's premises. Secure work areas contain particularly sensitive information assets, support critical operations, or house systems that require additional protection. The policy ensures that access is restricted, working practices are controlled, and risks to the confidentiality and integrity of information are minimised.</w:t>
      </w:r>
    </w:p>
    <w:p>
      <w:pPr>
        <w:spacing w:before="240" w:after="80"/>
      </w:pPr>
      <w:r>
        <w:rPr>
          <w:b/>
          <w:sz w:val="24"/>
        </w:rPr>
        <w:t>3.2  Scope</w:t>
      </w:r>
    </w:p>
    <w:p>
      <w:pPr>
        <w:spacing w:before="40" w:after="120" w:line="280" w:lineRule="exact"/>
      </w:pPr>
      <w:r>
        <w:rPr>
          <w:sz w:val="22"/>
        </w:rPr>
        <w:t>This policy applies to all designated secure work areas including data centres, communications rooms, finance offices, executive areas, research and development laboratories, and any other areas formally designated by the Information Security Manager.</w:t>
      </w:r>
    </w:p>
    <w:p>
      <w:pPr>
        <w:spacing w:before="240" w:after="80"/>
      </w:pPr>
      <w:r>
        <w:rPr>
          <w:b/>
          <w:sz w:val="24"/>
        </w:rPr>
        <w:t>3.3  Definitions</w:t>
      </w:r>
    </w:p>
    <w:p>
      <w:pPr>
        <w:spacing w:before="60" w:after="60"/>
      </w:pPr>
      <w:r>
        <w:rPr>
          <w:b/>
          <w:sz w:val="22"/>
        </w:rPr>
        <w:t xml:space="preserve">Secure Work Area: </w:t>
      </w:r>
      <w:r>
        <w:rPr>
          <w:sz w:val="22"/>
        </w:rPr>
        <w:t>A physical area subject to access restrictions, monitoring, and additional working procedures due to the sensitivity of the information or systems located within</w:t>
      </w:r>
    </w:p>
    <w:p>
      <w:pPr>
        <w:spacing w:before="60" w:after="60"/>
      </w:pPr>
      <w:r>
        <w:rPr>
          <w:b/>
          <w:sz w:val="22"/>
        </w:rPr>
        <w:t xml:space="preserve">Authorised Person: </w:t>
      </w:r>
      <w:r>
        <w:rPr>
          <w:sz w:val="22"/>
        </w:rPr>
        <w:t>An individual whose role requires them to enter the secure work area and who has been formally approved for access</w:t>
      </w:r>
    </w:p>
    <w:p>
      <w:pPr>
        <w:spacing w:before="60" w:after="60"/>
      </w:pPr>
      <w:r>
        <w:rPr>
          <w:b/>
          <w:sz w:val="22"/>
        </w:rPr>
        <w:t xml:space="preserve">Visitor: </w:t>
      </w:r>
      <w:r>
        <w:rPr>
          <w:sz w:val="22"/>
        </w:rPr>
        <w:t>Any person who is not an authorised person and who enters the secure work area for a limited duration</w:t>
      </w:r>
    </w:p>
    <w:p>
      <w:pPr>
        <w:spacing w:before="60" w:after="60"/>
      </w:pPr>
      <w:r>
        <w:rPr>
          <w:b/>
          <w:sz w:val="22"/>
        </w:rPr>
        <w:t xml:space="preserve">Escort: </w:t>
      </w:r>
      <w:r>
        <w:rPr>
          <w:sz w:val="22"/>
        </w:rPr>
        <w:t>An authorised person who accompanies a visitor at all times within the secure work area</w:t>
      </w:r>
    </w:p>
    <w:p>
      <w:pPr>
        <w:spacing w:before="240" w:after="80"/>
      </w:pPr>
      <w:r>
        <w:rPr>
          <w:b/>
          <w:sz w:val="24"/>
        </w:rPr>
        <w:t>3.4  Policy Requirements</w:t>
      </w:r>
    </w:p>
    <w:p>
      <w:pPr>
        <w:spacing w:before="240" w:after="80"/>
      </w:pPr>
      <w:r>
        <w:rPr>
          <w:b/>
          <w:sz w:val="22"/>
        </w:rPr>
        <w:t>Access Control</w:t>
      </w:r>
    </w:p>
    <w:p>
      <w:pPr>
        <w:pStyle w:val="ListBullet"/>
        <w:ind w:left="360"/>
      </w:pPr>
      <w:r>
        <w:rPr>
          <w:sz w:val="22"/>
        </w:rPr>
        <w:t>Access to secure work areas must be granted on the principle of least privilege and approved by the area owner</w:t>
      </w:r>
    </w:p>
    <w:p>
      <w:pPr>
        <w:pStyle w:val="ListBullet"/>
        <w:ind w:left="360"/>
      </w:pPr>
      <w:r>
        <w:rPr>
          <w:sz w:val="22"/>
        </w:rPr>
        <w:t>Access must be enforced through physical controls such as keycards, biometrics, or PIN-protected locks</w:t>
      </w:r>
    </w:p>
    <w:p>
      <w:pPr>
        <w:pStyle w:val="ListBullet"/>
        <w:ind w:left="360"/>
      </w:pPr>
      <w:r>
        <w:rPr>
          <w:sz w:val="22"/>
        </w:rPr>
        <w:t>Access lists must be reviewed at least quarterly by the area owner and adjustments made promptly</w:t>
      </w:r>
    </w:p>
    <w:p>
      <w:pPr>
        <w:pStyle w:val="ListBullet"/>
        <w:ind w:left="360"/>
      </w:pPr>
      <w:r>
        <w:rPr>
          <w:sz w:val="22"/>
        </w:rPr>
        <w:t>Tailgating is prohibited and authorised persons must challenge any unrecognised individual</w:t>
      </w:r>
    </w:p>
    <w:p>
      <w:pPr>
        <w:spacing w:before="240" w:after="80"/>
      </w:pPr>
      <w:r>
        <w:rPr>
          <w:b/>
          <w:sz w:val="22"/>
        </w:rPr>
        <w:t>Visitor Management</w:t>
      </w:r>
    </w:p>
    <w:p>
      <w:pPr>
        <w:pStyle w:val="ListBullet"/>
        <w:ind w:left="360"/>
      </w:pPr>
      <w:r>
        <w:rPr>
          <w:sz w:val="22"/>
        </w:rPr>
        <w:t>All visitors must be pre-authorised, signed in, issued a visitor pass, and escorted at all times</w:t>
      </w:r>
    </w:p>
    <w:p>
      <w:pPr>
        <w:pStyle w:val="ListBullet"/>
        <w:ind w:left="360"/>
      </w:pPr>
      <w:r>
        <w:rPr>
          <w:sz w:val="22"/>
        </w:rPr>
        <w:t>Visitor entry and exit times must be recorded in the Visitor Log</w:t>
      </w:r>
    </w:p>
    <w:p>
      <w:pPr>
        <w:pStyle w:val="ListBullet"/>
        <w:ind w:left="360"/>
      </w:pPr>
      <w:r>
        <w:rPr>
          <w:sz w:val="22"/>
        </w:rPr>
        <w:t>Visitors must not be granted unsupervised access to systems, documents, or storage media</w:t>
      </w:r>
    </w:p>
    <w:p>
      <w:pPr>
        <w:spacing w:before="240" w:after="80"/>
      </w:pPr>
      <w:r>
        <w:rPr>
          <w:b/>
          <w:sz w:val="22"/>
        </w:rPr>
        <w:t>Working Practices</w:t>
      </w:r>
    </w:p>
    <w:p>
      <w:pPr>
        <w:pStyle w:val="ListBullet"/>
        <w:ind w:left="360"/>
      </w:pPr>
      <w:r>
        <w:rPr>
          <w:sz w:val="22"/>
        </w:rPr>
        <w:t>Sensitive documents must not be left unattended on desks within the secure work area</w:t>
      </w:r>
    </w:p>
    <w:p>
      <w:pPr>
        <w:pStyle w:val="ListBullet"/>
        <w:ind w:left="360"/>
      </w:pPr>
      <w:r>
        <w:rPr>
          <w:sz w:val="22"/>
        </w:rPr>
        <w:t>Photographic and recording devices must not be used within the area unless explicitly authorised</w:t>
      </w:r>
    </w:p>
    <w:p>
      <w:pPr>
        <w:pStyle w:val="ListBullet"/>
        <w:ind w:left="360"/>
      </w:pPr>
      <w:r>
        <w:rPr>
          <w:sz w:val="22"/>
        </w:rPr>
        <w:t>Work performed in the area must be appropriate to the area's classification and not include external personal calls or social activities that could compromise confidentiality</w:t>
      </w:r>
    </w:p>
    <w:p>
      <w:pPr>
        <w:spacing w:before="240" w:after="80"/>
      </w:pPr>
      <w:r>
        <w:rPr>
          <w:b/>
          <w:sz w:val="22"/>
        </w:rPr>
        <w:t>Monitoring and Logging</w:t>
      </w:r>
    </w:p>
    <w:p>
      <w:pPr>
        <w:pStyle w:val="ListBullet"/>
        <w:ind w:left="360"/>
      </w:pPr>
      <w:r>
        <w:rPr>
          <w:sz w:val="22"/>
        </w:rPr>
        <w:t>Entry and exit events must be logged and reviewed periodically for anomalies</w:t>
      </w:r>
    </w:p>
    <w:p>
      <w:pPr>
        <w:pStyle w:val="ListBullet"/>
        <w:ind w:left="360"/>
      </w:pPr>
      <w:r>
        <w:rPr>
          <w:sz w:val="22"/>
        </w:rPr>
        <w:t>Where deployed, video surveillance must be configured to capture access points without infringing personal privacy beyond what is necessary</w:t>
      </w:r>
    </w:p>
    <w:p>
      <w:pPr>
        <w:pStyle w:val="ListBullet"/>
        <w:ind w:left="360"/>
      </w:pPr>
      <w:r>
        <w:rPr>
          <w:sz w:val="22"/>
        </w:rPr>
        <w:t>Anomalies must be investigated and reported to the Information Security Manager</w:t>
      </w:r>
    </w:p>
    <w:p>
      <w:pPr>
        <w:spacing w:before="240" w:after="80"/>
      </w:pPr>
      <w:r>
        <w:rPr>
          <w:b/>
          <w:sz w:val="24"/>
        </w:rPr>
        <w:t>3.5  Roles and Responsibilities</w:t>
      </w:r>
    </w:p>
    <w:p>
      <w:pPr>
        <w:spacing w:before="80"/>
      </w:pPr>
      <w:r>
        <w:rPr>
          <w:b/>
          <w:sz w:val="22"/>
        </w:rPr>
        <w:t xml:space="preserve">Area Owner: </w:t>
      </w:r>
      <w:r>
        <w:rPr>
          <w:sz w:val="22"/>
        </w:rPr>
        <w:t>Designates the secure area, maintains access lists, and authorises visitors</w:t>
      </w:r>
    </w:p>
    <w:p>
      <w:pPr>
        <w:spacing w:before="80"/>
      </w:pPr>
      <w:r>
        <w:rPr>
          <w:b/>
          <w:sz w:val="22"/>
        </w:rPr>
        <w:t xml:space="preserve">Facilities: </w:t>
      </w:r>
      <w:r>
        <w:rPr>
          <w:sz w:val="22"/>
        </w:rPr>
        <w:t>Operates physical controls and maintains the access management infrastructure</w:t>
      </w:r>
    </w:p>
    <w:p>
      <w:pPr>
        <w:spacing w:before="80"/>
      </w:pPr>
      <w:r>
        <w:rPr>
          <w:b/>
          <w:sz w:val="22"/>
        </w:rPr>
        <w:t xml:space="preserve">Information Security Manager: </w:t>
      </w:r>
      <w:r>
        <w:rPr>
          <w:sz w:val="22"/>
        </w:rPr>
        <w:t>Sets standards for secure work areas and audits compliance</w:t>
      </w:r>
    </w:p>
    <w:p>
      <w:pPr>
        <w:spacing w:before="80"/>
      </w:pPr>
      <w:r>
        <w:rPr>
          <w:b/>
          <w:sz w:val="22"/>
        </w:rPr>
        <w:t xml:space="preserve">All Personnel: </w:t>
      </w:r>
      <w:r>
        <w:rPr>
          <w:sz w:val="22"/>
        </w:rPr>
        <w:t>Comply with access and working procedures within the secure area</w:t>
      </w:r>
    </w:p>
    <w:p>
      <w:pPr>
        <w:spacing w:before="240" w:after="80"/>
      </w:pPr>
      <w:r>
        <w:rPr>
          <w:b/>
          <w:sz w:val="24"/>
        </w:rPr>
        <w:t>3.6  Related Documents</w:t>
      </w:r>
    </w:p>
    <w:p>
      <w:pPr>
        <w:pStyle w:val="ListBullet"/>
        <w:ind w:left="360"/>
      </w:pPr>
      <w:r>
        <w:rPr>
          <w:sz w:val="22"/>
        </w:rPr>
        <w:t>Physical Security Policy</w:t>
      </w:r>
    </w:p>
    <w:p>
      <w:pPr>
        <w:pStyle w:val="ListBullet"/>
        <w:ind w:left="360"/>
      </w:pPr>
      <w:r>
        <w:rPr>
          <w:sz w:val="22"/>
        </w:rPr>
        <w:t>Visitor Log Template</w:t>
      </w:r>
    </w:p>
    <w:p>
      <w:pPr>
        <w:pStyle w:val="ListBullet"/>
        <w:ind w:left="360"/>
      </w:pPr>
      <w:r>
        <w:rPr>
          <w:sz w:val="22"/>
        </w:rPr>
        <w:t>Physical Access Control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7.6 - Working in secure areas</w:t>
      </w:r>
    </w:p>
    <w:p>
      <w:pPr>
        <w:pStyle w:val="ListBullet"/>
        <w:ind w:left="360"/>
      </w:pPr>
      <w:r>
        <w:rPr>
          <w:sz w:val="22"/>
        </w:rPr>
        <w:t>7.2 - Physical entry</w:t>
      </w:r>
    </w:p>
    <w:p>
      <w:pPr>
        <w:pStyle w:val="ListBullet"/>
        <w:ind w:left="360"/>
      </w:pPr>
      <w:r>
        <w:rPr>
          <w:sz w:val="22"/>
        </w:rPr>
        <w:t>7.3 - Securing offices, rooms and facilities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