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PRIVILEGED ACCESS MANAGEMENT (PAM)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Privileged Access Management (PAM)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Privileged Access Management (PAM) Policy</w:t>
      </w:r>
    </w:p>
    <w:p>
      <w:pPr>
        <w:spacing w:before="240" w:after="80"/>
      </w:pPr>
      <w:r>
        <w:rPr>
          <w:b/>
          <w:sz w:val="24"/>
        </w:rPr>
        <w:t>3.1  Purpose</w:t>
      </w:r>
    </w:p>
    <w:p>
      <w:pPr>
        <w:spacing w:before="40" w:after="120" w:line="280" w:lineRule="exact"/>
      </w:pPr>
      <w:r>
        <w:rPr>
          <w:sz w:val="22"/>
        </w:rPr>
        <w:t>This policy defines the controls for managing privileged access to information systems and infrastructure. Privileged accounts have elevated rights that, if misused or compromised, can cause significant harm to the organisation. The policy ensures that privileged access is granted only when justified, used only for authorised activities, and monitored continuously.</w:t>
      </w:r>
    </w:p>
    <w:p>
      <w:pPr>
        <w:spacing w:before="240" w:after="80"/>
      </w:pPr>
      <w:r>
        <w:rPr>
          <w:b/>
          <w:sz w:val="24"/>
        </w:rPr>
        <w:t>3.2  Scope</w:t>
      </w:r>
    </w:p>
    <w:p>
      <w:pPr>
        <w:spacing w:before="40" w:after="120" w:line="280" w:lineRule="exact"/>
      </w:pPr>
      <w:r>
        <w:rPr>
          <w:sz w:val="22"/>
        </w:rPr>
        <w:t>This policy applies to all privileged accounts and credentials used to administer information systems, networks, applications, databases, cloud services, and security tooling, whether held by employees, contractors, or third parties.</w:t>
      </w:r>
    </w:p>
    <w:p>
      <w:pPr>
        <w:spacing w:before="240" w:after="80"/>
      </w:pPr>
      <w:r>
        <w:rPr>
          <w:b/>
          <w:sz w:val="24"/>
        </w:rPr>
        <w:t>3.3  Definitions</w:t>
      </w:r>
    </w:p>
    <w:p>
      <w:pPr>
        <w:spacing w:before="60" w:after="60"/>
      </w:pPr>
      <w:r>
        <w:rPr>
          <w:b/>
          <w:sz w:val="22"/>
        </w:rPr>
        <w:t xml:space="preserve">Privileged Account: </w:t>
      </w:r>
      <w:r>
        <w:rPr>
          <w:sz w:val="22"/>
        </w:rPr>
        <w:t>An account with elevated rights that allow administration of systems, configuration changes, access to logs, or override of standard controls</w:t>
      </w:r>
    </w:p>
    <w:p>
      <w:pPr>
        <w:spacing w:before="60" w:after="60"/>
      </w:pPr>
      <w:r>
        <w:rPr>
          <w:b/>
          <w:sz w:val="22"/>
        </w:rPr>
        <w:t xml:space="preserve">Service Account: </w:t>
      </w:r>
      <w:r>
        <w:rPr>
          <w:sz w:val="22"/>
        </w:rPr>
        <w:t>An account used by an application or service to authenticate to other systems</w:t>
      </w:r>
    </w:p>
    <w:p>
      <w:pPr>
        <w:spacing w:before="60" w:after="60"/>
      </w:pPr>
      <w:r>
        <w:rPr>
          <w:b/>
          <w:sz w:val="22"/>
        </w:rPr>
        <w:t xml:space="preserve">Just-in-Time Access (JIT): </w:t>
      </w:r>
      <w:r>
        <w:rPr>
          <w:sz w:val="22"/>
        </w:rPr>
        <w:t>A model in which privileged access is granted for the minimum time required to perform an approved task</w:t>
      </w:r>
    </w:p>
    <w:p>
      <w:pPr>
        <w:spacing w:before="60" w:after="60"/>
      </w:pPr>
      <w:r>
        <w:rPr>
          <w:b/>
          <w:sz w:val="22"/>
        </w:rPr>
        <w:t xml:space="preserve">Privileged Access Management (PAM) System: </w:t>
      </w:r>
      <w:r>
        <w:rPr>
          <w:sz w:val="22"/>
        </w:rPr>
        <w:t>A platform that manages, controls, and monitors privileged access including credential vaulting and session recording</w:t>
      </w:r>
    </w:p>
    <w:p>
      <w:pPr>
        <w:spacing w:before="60" w:after="60"/>
      </w:pPr>
      <w:r>
        <w:rPr>
          <w:b/>
          <w:sz w:val="22"/>
        </w:rPr>
        <w:t xml:space="preserve">Break-Glass Account: </w:t>
      </w:r>
      <w:r>
        <w:rPr>
          <w:sz w:val="22"/>
        </w:rPr>
        <w:t>An emergency account used to recover access in exceptional circumstances when normal access mechanisms are unavailable</w:t>
      </w:r>
    </w:p>
    <w:p>
      <w:pPr>
        <w:spacing w:before="240" w:after="80"/>
      </w:pPr>
      <w:r>
        <w:rPr>
          <w:b/>
          <w:sz w:val="24"/>
        </w:rPr>
        <w:t>3.4  Policy Requirements</w:t>
      </w:r>
    </w:p>
    <w:p>
      <w:pPr>
        <w:spacing w:before="240" w:after="80"/>
      </w:pPr>
      <w:r>
        <w:rPr>
          <w:b/>
          <w:sz w:val="22"/>
        </w:rPr>
        <w:t>Provisioning and Approval</w:t>
      </w:r>
    </w:p>
    <w:p>
      <w:pPr>
        <w:pStyle w:val="ListBullet"/>
        <w:ind w:left="360"/>
      </w:pPr>
      <w:r>
        <w:rPr>
          <w:sz w:val="22"/>
        </w:rPr>
        <w:t>Privileged access must only be granted following formal request and approval recorded on the Privileged User Approval Form</w:t>
      </w:r>
    </w:p>
    <w:p>
      <w:pPr>
        <w:pStyle w:val="ListBullet"/>
        <w:ind w:left="360"/>
      </w:pPr>
      <w:r>
        <w:rPr>
          <w:sz w:val="22"/>
        </w:rPr>
        <w:t>Approval must be granted by the system owner and the Information Security Manager</w:t>
      </w:r>
    </w:p>
    <w:p>
      <w:pPr>
        <w:pStyle w:val="ListBullet"/>
        <w:ind w:left="360"/>
      </w:pPr>
      <w:r>
        <w:rPr>
          <w:sz w:val="22"/>
        </w:rPr>
        <w:t>Privileged access must be reviewed at least quarterly and revoked when no longer required</w:t>
      </w:r>
    </w:p>
    <w:p>
      <w:pPr>
        <w:pStyle w:val="ListBullet"/>
        <w:ind w:left="360"/>
      </w:pPr>
      <w:r>
        <w:rPr>
          <w:sz w:val="22"/>
        </w:rPr>
        <w:t>Privileged accounts must be uniquely attributable to a named individual where possible, and shared accounts must be exceptional and tightly controlled</w:t>
      </w:r>
    </w:p>
    <w:p>
      <w:pPr>
        <w:spacing w:before="240" w:after="80"/>
      </w:pPr>
      <w:r>
        <w:rPr>
          <w:b/>
          <w:sz w:val="22"/>
        </w:rPr>
        <w:t>Authentication and Credential Storage</w:t>
      </w:r>
    </w:p>
    <w:p>
      <w:pPr>
        <w:pStyle w:val="ListBullet"/>
        <w:ind w:left="360"/>
      </w:pPr>
      <w:r>
        <w:rPr>
          <w:sz w:val="22"/>
        </w:rPr>
        <w:t>Privileged accounts must be authenticated using multi-factor authentication</w:t>
      </w:r>
    </w:p>
    <w:p>
      <w:pPr>
        <w:pStyle w:val="ListBullet"/>
        <w:ind w:left="360"/>
      </w:pPr>
      <w:r>
        <w:rPr>
          <w:sz w:val="22"/>
        </w:rPr>
        <w:t>Privileged credentials must be stored in the approved PAM system and rotated on a defined schedule</w:t>
      </w:r>
    </w:p>
    <w:p>
      <w:pPr>
        <w:pStyle w:val="ListBullet"/>
        <w:ind w:left="360"/>
      </w:pPr>
      <w:r>
        <w:rPr>
          <w:sz w:val="22"/>
        </w:rPr>
        <w:t>Credentials for break-glass accounts must be sealed, logged, and accessible only through a documented emergency process</w:t>
      </w:r>
    </w:p>
    <w:p>
      <w:pPr>
        <w:spacing w:before="240" w:after="80"/>
      </w:pPr>
      <w:r>
        <w:rPr>
          <w:b/>
          <w:sz w:val="22"/>
        </w:rPr>
        <w:t>Session Management and Recording</w:t>
      </w:r>
    </w:p>
    <w:p>
      <w:pPr>
        <w:pStyle w:val="ListBullet"/>
        <w:ind w:left="360"/>
      </w:pPr>
      <w:r>
        <w:rPr>
          <w:sz w:val="22"/>
        </w:rPr>
        <w:t>Privileged sessions must be initiated through the PAM system where technically feasible</w:t>
      </w:r>
    </w:p>
    <w:p>
      <w:pPr>
        <w:pStyle w:val="ListBullet"/>
        <w:ind w:left="360"/>
      </w:pPr>
      <w:r>
        <w:rPr>
          <w:sz w:val="22"/>
        </w:rPr>
        <w:t>Privileged sessions to critical systems must be recorded and retained in line with retention requirements</w:t>
      </w:r>
    </w:p>
    <w:p>
      <w:pPr>
        <w:pStyle w:val="ListBullet"/>
        <w:ind w:left="360"/>
      </w:pPr>
      <w:r>
        <w:rPr>
          <w:sz w:val="22"/>
        </w:rPr>
        <w:t>Recordings must be protected from tampering and access logged</w:t>
      </w:r>
    </w:p>
    <w:p>
      <w:pPr>
        <w:spacing w:before="240" w:after="80"/>
      </w:pPr>
      <w:r>
        <w:rPr>
          <w:b/>
          <w:sz w:val="22"/>
        </w:rPr>
        <w:t>Use of Privileged Access</w:t>
      </w:r>
    </w:p>
    <w:p>
      <w:pPr>
        <w:pStyle w:val="ListBullet"/>
        <w:ind w:left="360"/>
      </w:pPr>
      <w:r>
        <w:rPr>
          <w:sz w:val="22"/>
        </w:rPr>
        <w:t>Privileged accounts must not be used for general activities such as email, web browsing, or non-administrative tasks</w:t>
      </w:r>
    </w:p>
    <w:p>
      <w:pPr>
        <w:pStyle w:val="ListBullet"/>
        <w:ind w:left="360"/>
      </w:pPr>
      <w:r>
        <w:rPr>
          <w:sz w:val="22"/>
        </w:rPr>
        <w:t>Administrators must use a separate standard account for non-privileged activities</w:t>
      </w:r>
    </w:p>
    <w:p>
      <w:pPr>
        <w:pStyle w:val="ListBullet"/>
        <w:ind w:left="360"/>
      </w:pPr>
      <w:r>
        <w:rPr>
          <w:sz w:val="22"/>
        </w:rPr>
        <w:t>Just-in-Time access models should be used wherever practicable to minimise the standing privilege footprint</w:t>
      </w:r>
    </w:p>
    <w:p>
      <w:pPr>
        <w:spacing w:before="240" w:after="80"/>
      </w:pPr>
      <w:r>
        <w:rPr>
          <w:b/>
          <w:sz w:val="22"/>
        </w:rPr>
        <w:t>Monitoring and Audit</w:t>
      </w:r>
    </w:p>
    <w:p>
      <w:pPr>
        <w:pStyle w:val="ListBullet"/>
        <w:ind w:left="360"/>
      </w:pPr>
      <w:r>
        <w:rPr>
          <w:sz w:val="22"/>
        </w:rPr>
        <w:t>All privileged activity must be logged in the Privileged Activity Log and reviewed periodically</w:t>
      </w:r>
    </w:p>
    <w:p>
      <w:pPr>
        <w:pStyle w:val="ListBullet"/>
        <w:ind w:left="360"/>
      </w:pPr>
      <w:r>
        <w:rPr>
          <w:sz w:val="22"/>
        </w:rPr>
        <w:t>Anomalous activity must trigger investigation in line with the Incident Management Procedure</w:t>
      </w:r>
    </w:p>
    <w:p>
      <w:pPr>
        <w:spacing w:before="240" w:after="80"/>
      </w:pPr>
      <w:r>
        <w:rPr>
          <w:b/>
          <w:sz w:val="24"/>
        </w:rPr>
        <w:t>3.5  Roles and Responsibilities</w:t>
      </w:r>
    </w:p>
    <w:p>
      <w:pPr>
        <w:spacing w:before="80"/>
      </w:pPr>
      <w:r>
        <w:rPr>
          <w:b/>
          <w:sz w:val="22"/>
        </w:rPr>
        <w:t xml:space="preserve">System Owners: </w:t>
      </w:r>
      <w:r>
        <w:rPr>
          <w:sz w:val="22"/>
        </w:rPr>
        <w:t>Approve and review privileged access for systems within their ownership</w:t>
      </w:r>
    </w:p>
    <w:p>
      <w:pPr>
        <w:spacing w:before="80"/>
      </w:pPr>
      <w:r>
        <w:rPr>
          <w:b/>
          <w:sz w:val="22"/>
        </w:rPr>
        <w:t xml:space="preserve">Information Security Manager: </w:t>
      </w:r>
      <w:r>
        <w:rPr>
          <w:sz w:val="22"/>
        </w:rPr>
        <w:t>Operates the PAM system, monitors privileged activity, and enforces standards</w:t>
      </w:r>
    </w:p>
    <w:p>
      <w:pPr>
        <w:spacing w:before="80"/>
      </w:pPr>
      <w:r>
        <w:rPr>
          <w:b/>
          <w:sz w:val="22"/>
        </w:rPr>
        <w:t xml:space="preserve">Privileged Users: </w:t>
      </w:r>
      <w:r>
        <w:rPr>
          <w:sz w:val="22"/>
        </w:rPr>
        <w:t>Use privileged access only for authorised purposes and protect credentials</w:t>
      </w:r>
    </w:p>
    <w:p>
      <w:pPr>
        <w:spacing w:before="80"/>
      </w:pPr>
      <w:r>
        <w:rPr>
          <w:b/>
          <w:sz w:val="22"/>
        </w:rPr>
        <w:t xml:space="preserve">Internal Audit: </w:t>
      </w:r>
      <w:r>
        <w:rPr>
          <w:sz w:val="22"/>
        </w:rPr>
        <w:t>Independently reviews the operation of the PAM controls</w:t>
      </w:r>
    </w:p>
    <w:p>
      <w:pPr>
        <w:spacing w:before="240" w:after="80"/>
      </w:pPr>
      <w:r>
        <w:rPr>
          <w:b/>
          <w:sz w:val="24"/>
        </w:rPr>
        <w:t>3.6  Related Documents</w:t>
      </w:r>
    </w:p>
    <w:p>
      <w:pPr>
        <w:pStyle w:val="ListBullet"/>
        <w:ind w:left="360"/>
      </w:pPr>
      <w:r>
        <w:rPr>
          <w:sz w:val="22"/>
        </w:rPr>
        <w:t>Access Control Policy</w:t>
      </w:r>
    </w:p>
    <w:p>
      <w:pPr>
        <w:pStyle w:val="ListBullet"/>
        <w:ind w:left="360"/>
      </w:pPr>
      <w:r>
        <w:rPr>
          <w:sz w:val="22"/>
        </w:rPr>
        <w:t>Authentication Standards</w:t>
      </w:r>
    </w:p>
    <w:p>
      <w:pPr>
        <w:pStyle w:val="ListBullet"/>
        <w:ind w:left="360"/>
      </w:pPr>
      <w:r>
        <w:rPr>
          <w:sz w:val="22"/>
        </w:rPr>
        <w:t>Privileged Activity Log</w:t>
      </w:r>
    </w:p>
    <w:p>
      <w:pPr>
        <w:pStyle w:val="ListBullet"/>
        <w:ind w:left="360"/>
      </w:pPr>
      <w:r>
        <w:rPr>
          <w:sz w:val="22"/>
        </w:rPr>
        <w:t>Privileged User Approval Form</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8.2 - Privileged access rights</w:t>
      </w:r>
    </w:p>
    <w:p>
      <w:pPr>
        <w:pStyle w:val="ListBullet"/>
        <w:ind w:left="360"/>
      </w:pPr>
      <w:r>
        <w:rPr>
          <w:sz w:val="22"/>
        </w:rPr>
        <w:t>8.18 - Use of privileged utility programs</w:t>
      </w:r>
    </w:p>
    <w:p>
      <w:pPr>
        <w:pStyle w:val="ListBullet"/>
        <w:ind w:left="360"/>
      </w:pPr>
      <w:r>
        <w:rPr>
          <w:sz w:val="22"/>
        </w:rPr>
        <w:t>5.15 - Access control</w:t>
      </w:r>
    </w:p>
    <w:p>
      <w:pPr>
        <w:pStyle w:val="ListBullet"/>
        <w:ind w:left="360"/>
      </w:pPr>
      <w:r>
        <w:rPr>
          <w:sz w:val="22"/>
        </w:rPr>
        <w:t>5.16 - Identity management</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