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INFORMATION SECURITY STRATEGY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Information Security Strategy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Information Security Strategy</w:t>
      </w:r>
    </w:p>
    <w:p>
      <w:pPr>
        <w:spacing w:before="240" w:after="80"/>
      </w:pPr>
      <w:r>
        <w:rPr>
          <w:b/>
          <w:sz w:val="24"/>
        </w:rPr>
        <w:t>3.1  Purpose</w:t>
      </w:r>
    </w:p>
    <w:p>
      <w:pPr>
        <w:spacing w:before="40" w:after="120" w:line="280" w:lineRule="exact"/>
      </w:pPr>
      <w:r>
        <w:rPr>
          <w:sz w:val="22"/>
        </w:rPr>
        <w:t>This document sets out the multi-year information security strategy for the organisation. It defines the strategic direction, priorities, and investment areas required to maintain an effective information security management system aligned with business objectives and ISO/IEC 27001:2022 requirements. The strategy provides the basis for annual security planning, budget allocation, and capability development.</w:t>
      </w:r>
    </w:p>
    <w:p>
      <w:pPr>
        <w:spacing w:before="240" w:after="80"/>
      </w:pPr>
      <w:r>
        <w:rPr>
          <w:b/>
          <w:sz w:val="24"/>
        </w:rPr>
        <w:t>3.2  Scope</w:t>
      </w:r>
    </w:p>
    <w:p>
      <w:pPr>
        <w:spacing w:before="40" w:after="120" w:line="280" w:lineRule="exact"/>
      </w:pPr>
      <w:r>
        <w:rPr>
          <w:sz w:val="22"/>
        </w:rPr>
        <w:t>This strategy covers all information security activities, programmes, and capabilities across the organisation. It applies to all business units, geographic locations, and supporting functions, and to all information assets regardless of format or location.</w:t>
      </w:r>
    </w:p>
    <w:p>
      <w:pPr>
        <w:spacing w:before="240" w:after="80"/>
      </w:pPr>
      <w:r>
        <w:rPr>
          <w:b/>
          <w:sz w:val="24"/>
        </w:rPr>
        <w:t>3.3  Definitions</w:t>
      </w:r>
    </w:p>
    <w:p>
      <w:pPr>
        <w:spacing w:before="60" w:after="60"/>
      </w:pPr>
      <w:r>
        <w:rPr>
          <w:b/>
          <w:sz w:val="22"/>
        </w:rPr>
        <w:t xml:space="preserve">Strategic Objective: </w:t>
      </w:r>
      <w:r>
        <w:rPr>
          <w:sz w:val="22"/>
        </w:rPr>
        <w:t>A high-level goal that the information security programme is designed to achieve over the planning horizon</w:t>
      </w:r>
    </w:p>
    <w:p>
      <w:pPr>
        <w:spacing w:before="60" w:after="60"/>
      </w:pPr>
      <w:r>
        <w:rPr>
          <w:b/>
          <w:sz w:val="22"/>
        </w:rPr>
        <w:t xml:space="preserve">Capability: </w:t>
      </w:r>
      <w:r>
        <w:rPr>
          <w:sz w:val="22"/>
        </w:rPr>
        <w:t>A combination of people, process, and technology that enables the organisation to deliver an information security outcome</w:t>
      </w:r>
    </w:p>
    <w:p>
      <w:pPr>
        <w:spacing w:before="60" w:after="60"/>
      </w:pPr>
      <w:r>
        <w:rPr>
          <w:b/>
          <w:sz w:val="22"/>
        </w:rPr>
        <w:t xml:space="preserve">Maturity Level: </w:t>
      </w:r>
      <w:r>
        <w:rPr>
          <w:sz w:val="22"/>
        </w:rPr>
        <w:t>An assessed indication of how well a capability is established and operating, typically on a five-point scale</w:t>
      </w:r>
    </w:p>
    <w:p>
      <w:pPr>
        <w:spacing w:before="60" w:after="60"/>
      </w:pPr>
      <w:r>
        <w:rPr>
          <w:b/>
          <w:sz w:val="22"/>
        </w:rPr>
        <w:t xml:space="preserve">Roadmap: </w:t>
      </w:r>
      <w:r>
        <w:rPr>
          <w:sz w:val="22"/>
        </w:rPr>
        <w:t>A time-phased plan showing how capabilities will be developed and improvements delivered over the planning horizon</w:t>
      </w:r>
    </w:p>
    <w:p>
      <w:pPr>
        <w:spacing w:before="240" w:after="80"/>
      </w:pPr>
      <w:r>
        <w:rPr>
          <w:b/>
          <w:sz w:val="24"/>
        </w:rPr>
        <w:t>3.4  Policy Requirements</w:t>
      </w:r>
    </w:p>
    <w:p>
      <w:pPr>
        <w:spacing w:before="240" w:after="80"/>
      </w:pPr>
      <w:r>
        <w:rPr>
          <w:b/>
          <w:sz w:val="22"/>
        </w:rPr>
        <w:t>Strategic Vision and Goals</w:t>
      </w:r>
    </w:p>
    <w:p>
      <w:pPr>
        <w:pStyle w:val="ListBullet"/>
        <w:ind w:left="360"/>
      </w:pPr>
      <w:r>
        <w:rPr>
          <w:sz w:val="22"/>
        </w:rPr>
        <w:t>Establish information security as a recognised business enabler that protects organisational value and supports growth</w:t>
      </w:r>
    </w:p>
    <w:p>
      <w:pPr>
        <w:pStyle w:val="ListBullet"/>
        <w:ind w:left="360"/>
      </w:pPr>
      <w:r>
        <w:rPr>
          <w:sz w:val="22"/>
        </w:rPr>
        <w:t>Achieve and maintain ISO/IEC 27001:2022 certification across in-scope business units</w:t>
      </w:r>
    </w:p>
    <w:p>
      <w:pPr>
        <w:pStyle w:val="ListBullet"/>
        <w:ind w:left="360"/>
      </w:pPr>
      <w:r>
        <w:rPr>
          <w:sz w:val="22"/>
        </w:rPr>
        <w:t>Reduce the residual information security risk profile to within the documented risk appetite</w:t>
      </w:r>
    </w:p>
    <w:p>
      <w:pPr>
        <w:pStyle w:val="ListBullet"/>
        <w:ind w:left="360"/>
      </w:pPr>
      <w:r>
        <w:rPr>
          <w:sz w:val="22"/>
        </w:rPr>
        <w:t>Build a security-aware culture across all levels of the organisation</w:t>
      </w:r>
    </w:p>
    <w:p>
      <w:pPr>
        <w:pStyle w:val="ListBullet"/>
        <w:ind w:left="360"/>
      </w:pPr>
      <w:r>
        <w:rPr>
          <w:sz w:val="22"/>
        </w:rPr>
        <w:t>Develop the security operations capability to detect and respond to threats within defined service levels</w:t>
      </w:r>
    </w:p>
    <w:p>
      <w:pPr>
        <w:spacing w:before="240" w:after="80"/>
      </w:pPr>
      <w:r>
        <w:rPr>
          <w:b/>
          <w:sz w:val="22"/>
        </w:rPr>
        <w:t>Strategic Themes</w:t>
      </w:r>
    </w:p>
    <w:p>
      <w:pPr>
        <w:pStyle w:val="ListBullet"/>
        <w:ind w:left="360"/>
      </w:pPr>
      <w:r>
        <w:rPr>
          <w:sz w:val="22"/>
        </w:rPr>
        <w:t>Risk-based decision making supported by a current and accurate view of the threat landscape</w:t>
      </w:r>
    </w:p>
    <w:p>
      <w:pPr>
        <w:pStyle w:val="ListBullet"/>
        <w:ind w:left="360"/>
      </w:pPr>
      <w:r>
        <w:rPr>
          <w:sz w:val="22"/>
        </w:rPr>
        <w:t>Security by design embedded in all change, project, and procurement activities</w:t>
      </w:r>
    </w:p>
    <w:p>
      <w:pPr>
        <w:pStyle w:val="ListBullet"/>
        <w:ind w:left="360"/>
      </w:pPr>
      <w:r>
        <w:rPr>
          <w:sz w:val="22"/>
        </w:rPr>
        <w:t>Identity and access governance covering joiners, movers, and leavers across all systems</w:t>
      </w:r>
    </w:p>
    <w:p>
      <w:pPr>
        <w:pStyle w:val="ListBullet"/>
        <w:ind w:left="360"/>
      </w:pPr>
      <w:r>
        <w:rPr>
          <w:sz w:val="22"/>
        </w:rPr>
        <w:t>Data protection controls aligned with classification and applicable regulatory requirements</w:t>
      </w:r>
    </w:p>
    <w:p>
      <w:pPr>
        <w:pStyle w:val="ListBullet"/>
        <w:ind w:left="360"/>
      </w:pPr>
      <w:r>
        <w:rPr>
          <w:sz w:val="22"/>
        </w:rPr>
        <w:t>Resilience of critical services through robust continuity, backup, and recovery capabilities</w:t>
      </w:r>
    </w:p>
    <w:p>
      <w:pPr>
        <w:pStyle w:val="ListBullet"/>
        <w:ind w:left="360"/>
      </w:pPr>
      <w:r>
        <w:rPr>
          <w:sz w:val="22"/>
        </w:rPr>
        <w:t>Third-party assurance proportionate to the risk presented by each supplier</w:t>
      </w:r>
    </w:p>
    <w:p>
      <w:pPr>
        <w:spacing w:before="240" w:after="80"/>
      </w:pPr>
      <w:r>
        <w:rPr>
          <w:b/>
          <w:sz w:val="22"/>
        </w:rPr>
        <w:t>Investment Priorities</w:t>
      </w:r>
    </w:p>
    <w:p>
      <w:pPr>
        <w:pStyle w:val="ListBullet"/>
        <w:ind w:left="360"/>
      </w:pPr>
      <w:r>
        <w:rPr>
          <w:sz w:val="22"/>
        </w:rPr>
        <w:t>Identity and privileged access management platforms</w:t>
      </w:r>
    </w:p>
    <w:p>
      <w:pPr>
        <w:pStyle w:val="ListBullet"/>
        <w:ind w:left="360"/>
      </w:pPr>
      <w:r>
        <w:rPr>
          <w:sz w:val="22"/>
        </w:rPr>
        <w:t>Security monitoring, detection, and response tooling</w:t>
      </w:r>
    </w:p>
    <w:p>
      <w:pPr>
        <w:pStyle w:val="ListBullet"/>
        <w:ind w:left="360"/>
      </w:pPr>
      <w:r>
        <w:rPr>
          <w:sz w:val="22"/>
        </w:rPr>
        <w:t>Vulnerability and patch management automation</w:t>
      </w:r>
    </w:p>
    <w:p>
      <w:pPr>
        <w:pStyle w:val="ListBullet"/>
        <w:ind w:left="360"/>
      </w:pPr>
      <w:r>
        <w:rPr>
          <w:sz w:val="22"/>
        </w:rPr>
        <w:t>Security awareness, training, and simulation programmes</w:t>
      </w:r>
    </w:p>
    <w:p>
      <w:pPr>
        <w:pStyle w:val="ListBullet"/>
        <w:ind w:left="360"/>
      </w:pPr>
      <w:r>
        <w:rPr>
          <w:sz w:val="22"/>
        </w:rPr>
        <w:t>Cloud security posture management for in-scope cloud services</w:t>
      </w:r>
    </w:p>
    <w:p>
      <w:pPr>
        <w:spacing w:before="240" w:after="80"/>
      </w:pPr>
      <w:r>
        <w:rPr>
          <w:b/>
          <w:sz w:val="22"/>
        </w:rPr>
        <w:t>Measurement and Review</w:t>
      </w:r>
    </w:p>
    <w:p>
      <w:pPr>
        <w:pStyle w:val="ListBullet"/>
        <w:ind w:left="360"/>
      </w:pPr>
      <w:r>
        <w:rPr>
          <w:sz w:val="22"/>
        </w:rPr>
        <w:t>Strategic objectives are translated into measurable annual objectives that are tracked through the management review cycle</w:t>
      </w:r>
    </w:p>
    <w:p>
      <w:pPr>
        <w:pStyle w:val="ListBullet"/>
        <w:ind w:left="360"/>
      </w:pPr>
      <w:r>
        <w:rPr>
          <w:sz w:val="22"/>
        </w:rPr>
        <w:t>Capability maturity is assessed annually against an agreed framework</w:t>
      </w:r>
    </w:p>
    <w:p>
      <w:pPr>
        <w:pStyle w:val="ListBullet"/>
        <w:ind w:left="360"/>
      </w:pPr>
      <w:r>
        <w:rPr>
          <w:sz w:val="22"/>
        </w:rPr>
        <w:t>The strategy is refreshed at least every two years or following a material change in business direction or threat landscape</w:t>
      </w:r>
    </w:p>
    <w:p>
      <w:pPr>
        <w:spacing w:before="240" w:after="80"/>
      </w:pPr>
      <w:r>
        <w:rPr>
          <w:b/>
          <w:sz w:val="24"/>
        </w:rPr>
        <w:t>3.5  Roles and Responsibilities</w:t>
      </w:r>
    </w:p>
    <w:p>
      <w:pPr>
        <w:spacing w:before="80"/>
      </w:pPr>
      <w:r>
        <w:rPr>
          <w:b/>
          <w:sz w:val="22"/>
        </w:rPr>
        <w:t xml:space="preserve">Board / Executive Committee: </w:t>
      </w:r>
      <w:r>
        <w:rPr>
          <w:sz w:val="22"/>
        </w:rPr>
        <w:t>Approves the strategy, allocates funding, and holds management accountable for delivery</w:t>
      </w:r>
    </w:p>
    <w:p>
      <w:pPr>
        <w:spacing w:before="80"/>
      </w:pPr>
      <w:r>
        <w:rPr>
          <w:b/>
          <w:sz w:val="22"/>
        </w:rPr>
        <w:t xml:space="preserve">Chief Information Security Officer: </w:t>
      </w:r>
      <w:r>
        <w:rPr>
          <w:sz w:val="22"/>
        </w:rPr>
        <w:t>Owns the strategy, leads its development and execution, and reports progress to the board</w:t>
      </w:r>
    </w:p>
    <w:p>
      <w:pPr>
        <w:spacing w:before="80"/>
      </w:pPr>
      <w:r>
        <w:rPr>
          <w:b/>
          <w:sz w:val="22"/>
        </w:rPr>
        <w:t xml:space="preserve">Security Leadership Team: </w:t>
      </w:r>
      <w:r>
        <w:rPr>
          <w:sz w:val="22"/>
        </w:rPr>
        <w:t>Translates strategic themes into capability roadmaps and operational plans</w:t>
      </w:r>
    </w:p>
    <w:p>
      <w:pPr>
        <w:spacing w:before="80"/>
      </w:pPr>
      <w:r>
        <w:rPr>
          <w:b/>
          <w:sz w:val="22"/>
        </w:rPr>
        <w:t xml:space="preserve">Business Unit Leaders: </w:t>
      </w:r>
      <w:r>
        <w:rPr>
          <w:sz w:val="22"/>
        </w:rPr>
        <w:t>Embed security strategy outcomes into local business plans and provide resources where required</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IS-04 Risk Management Policy</w:t>
      </w:r>
    </w:p>
    <w:p>
      <w:pPr>
        <w:pStyle w:val="ListBullet"/>
        <w:ind w:left="360"/>
      </w:pPr>
      <w:r>
        <w:rPr>
          <w:sz w:val="22"/>
        </w:rPr>
        <w:t>Annual Security Plan</w:t>
      </w:r>
    </w:p>
    <w:p>
      <w:pPr>
        <w:pStyle w:val="ListBullet"/>
        <w:ind w:left="360"/>
      </w:pPr>
      <w:r>
        <w:rPr>
          <w:sz w:val="22"/>
        </w:rPr>
        <w:t>Capability Maturity Assessment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5.1 - Policies for information security</w:t>
      </w:r>
    </w:p>
    <w:p>
      <w:pPr>
        <w:pStyle w:val="ListBullet"/>
        <w:ind w:left="360"/>
      </w:pPr>
      <w:r>
        <w:rPr>
          <w:sz w:val="22"/>
        </w:rPr>
        <w:t>6.2 - Information security objectives</w:t>
      </w:r>
    </w:p>
    <w:p>
      <w:pPr>
        <w:pStyle w:val="ListBullet"/>
        <w:ind w:left="360"/>
      </w:pPr>
      <w:r>
        <w:rPr>
          <w:sz w:val="22"/>
        </w:rPr>
        <w:t>9.3 - Management review</w:t>
      </w:r>
    </w:p>
    <w:p>
      <w:pPr>
        <w:pStyle w:val="ListBullet"/>
        <w:ind w:left="360"/>
      </w:pPr>
      <w:r>
        <w:rPr>
          <w:sz w:val="22"/>
        </w:rPr>
        <w:t>10.1 - Continual improvement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