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INFORMATION SECURITY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Information Security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Principle</w:t>
      </w:r>
      <w:r>
        <w:tab/>
        <w:t>5</w:t>
      </w:r>
    </w:p>
    <w:p>
      <w:pPr>
        <w:spacing w:before="60" w:after="60"/>
      </w:pPr>
      <w:r>
        <w:rPr>
          <w:sz w:val="22"/>
        </w:rPr>
        <w:t>3.4   Management Statement of Commitment</w:t>
      </w:r>
      <w:r>
        <w:tab/>
        <w:t>5</w:t>
      </w:r>
    </w:p>
    <w:p>
      <w:pPr>
        <w:spacing w:before="60" w:after="60"/>
      </w:pPr>
      <w:r>
        <w:rPr>
          <w:sz w:val="22"/>
        </w:rPr>
        <w:t>3.5   Introduction</w:t>
      </w:r>
      <w:r>
        <w:tab/>
        <w:t>6</w:t>
      </w:r>
    </w:p>
    <w:p>
      <w:pPr>
        <w:spacing w:before="60" w:after="60"/>
      </w:pPr>
      <w:r>
        <w:rPr>
          <w:sz w:val="22"/>
        </w:rPr>
        <w:t>3.6   Information Security Objectives</w:t>
      </w:r>
      <w:r>
        <w:tab/>
        <w:t>6</w:t>
      </w:r>
    </w:p>
    <w:p>
      <w:pPr>
        <w:spacing w:before="60" w:after="60"/>
      </w:pPr>
      <w:r>
        <w:rPr>
          <w:sz w:val="22"/>
        </w:rPr>
        <w:t>3.7   Information Security Defined</w:t>
      </w:r>
      <w:r>
        <w:tab/>
        <w:t>7</w:t>
      </w:r>
    </w:p>
    <w:p>
      <w:pPr>
        <w:spacing w:before="60" w:after="60"/>
      </w:pPr>
      <w:r>
        <w:rPr>
          <w:sz w:val="22"/>
        </w:rPr>
        <w:t>3.8   Information Security Policy Framework</w:t>
      </w:r>
      <w:r>
        <w:tab/>
        <w:t>8</w:t>
      </w:r>
    </w:p>
    <w:p>
      <w:pPr>
        <w:spacing w:before="60" w:after="60"/>
      </w:pPr>
      <w:r>
        <w:rPr>
          <w:sz w:val="22"/>
        </w:rPr>
        <w:t>3.9   Information Security Roles and Responsibilities</w:t>
      </w:r>
      <w:r>
        <w:tab/>
        <w:t>9</w:t>
      </w:r>
    </w:p>
    <w:p>
      <w:pPr>
        <w:spacing w:before="60" w:after="60"/>
      </w:pPr>
      <w:r>
        <w:rPr>
          <w:sz w:val="22"/>
        </w:rPr>
        <w:t>3.10   Monitoring</w:t>
      </w:r>
      <w:r>
        <w:tab/>
        <w:t>10</w:t>
      </w:r>
    </w:p>
    <w:p>
      <w:pPr>
        <w:spacing w:before="60" w:after="60"/>
      </w:pPr>
      <w:r>
        <w:rPr>
          <w:sz w:val="22"/>
        </w:rPr>
        <w:t>3.11   Legal and Regulatory Obligations</w:t>
      </w:r>
      <w:r>
        <w:tab/>
        <w:t>10</w:t>
      </w:r>
    </w:p>
    <w:p>
      <w:pPr>
        <w:spacing w:before="60" w:after="60"/>
      </w:pPr>
      <w:r>
        <w:rPr>
          <w:sz w:val="22"/>
        </w:rPr>
        <w:t>3.12   Training and Awareness</w:t>
      </w:r>
      <w:r>
        <w:tab/>
        <w:t>10</w:t>
      </w:r>
    </w:p>
    <w:p>
      <w:pPr>
        <w:spacing w:before="60" w:after="60"/>
      </w:pPr>
      <w:r>
        <w:rPr>
          <w:sz w:val="22"/>
        </w:rPr>
        <w:t>3.13   Continual Improvement</w:t>
      </w:r>
      <w:r>
        <w:tab/>
        <w:t>10</w:t>
      </w:r>
    </w:p>
    <w:p>
      <w:pPr>
        <w:spacing w:before="60" w:after="60"/>
      </w:pPr>
      <w:r>
        <w:rPr>
          <w:sz w:val="22"/>
        </w:rPr>
        <w:t>4   Policy Compliance</w:t>
      </w:r>
      <w:r>
        <w:tab/>
        <w:t>11</w:t>
      </w:r>
    </w:p>
    <w:p>
      <w:pPr>
        <w:spacing w:before="60" w:after="60"/>
      </w:pPr>
      <w:r>
        <w:rPr>
          <w:sz w:val="22"/>
        </w:rPr>
        <w:t>4.1   Compliance Measurement</w:t>
      </w:r>
      <w:r>
        <w:tab/>
        <w:t>11</w:t>
      </w:r>
    </w:p>
    <w:p>
      <w:pPr>
        <w:spacing w:before="60" w:after="60"/>
      </w:pPr>
      <w:r>
        <w:rPr>
          <w:sz w:val="22"/>
        </w:rPr>
        <w:t>4.2   Exceptions</w:t>
      </w:r>
      <w:r>
        <w:tab/>
        <w:t>11</w:t>
      </w:r>
    </w:p>
    <w:p>
      <w:pPr>
        <w:spacing w:before="60" w:after="60"/>
      </w:pPr>
      <w:r>
        <w:rPr>
          <w:sz w:val="22"/>
        </w:rPr>
        <w:t>4.3   Non-Compliance</w:t>
      </w:r>
      <w:r>
        <w:tab/>
        <w:t>11</w:t>
      </w:r>
    </w:p>
    <w:p>
      <w:pPr>
        <w:spacing w:before="60" w:after="60"/>
      </w:pPr>
      <w:r>
        <w:rPr>
          <w:sz w:val="22"/>
        </w:rPr>
        <w:t>4.4   Continual Improvement</w:t>
      </w:r>
      <w:r>
        <w:tab/>
        <w:t>11</w:t>
      </w:r>
    </w:p>
    <w:p>
      <w:pPr>
        <w:spacing w:before="60" w:after="60"/>
      </w:pPr>
      <w:r>
        <w:rPr>
          <w:sz w:val="22"/>
        </w:rPr>
        <w:t>5   ISO 27001:2022 Controls Addressed</w:t>
      </w:r>
      <w:r>
        <w:tab/>
        <w:t>12</w:t>
      </w:r>
    </w:p>
    <w:p/>
    <w:p>
      <w:pPr>
        <w:spacing w:before="240" w:after="80"/>
      </w:pPr>
      <w:r>
        <w:rPr>
          <w:b/>
          <w:sz w:val="26"/>
        </w:rPr>
        <w:t>3  Information Security Policy</w:t>
      </w:r>
    </w:p>
    <w:p>
      <w:pPr>
        <w:spacing w:before="240" w:after="80"/>
      </w:pPr>
      <w:r>
        <w:rPr>
          <w:b/>
          <w:sz w:val="24"/>
        </w:rPr>
        <w:t>3.1  Purpose</w:t>
      </w:r>
    </w:p>
    <w:p>
      <w:pPr>
        <w:spacing w:before="40" w:after="120" w:line="280" w:lineRule="exact"/>
      </w:pPr>
      <w:r>
        <w:rPr>
          <w:sz w:val="22"/>
        </w:rPr>
        <w:t>The purpose of this policy is to establish the information security objectives, principles, and requirements that apply across the organisation. This policy provides the framework for protecting the confidentiality, integrity, and availability of all information assets owned, managed, or processed by the organisation, whether in physical or digital form.</w:t>
      </w:r>
    </w:p>
    <w:p>
      <w:pPr>
        <w:spacing w:before="40" w:after="120" w:line="280" w:lineRule="exact"/>
      </w:pPr>
      <w:r>
        <w:rPr>
          <w:sz w:val="22"/>
        </w:rPr>
        <w:t>This policy is the top-level document in the information security policy framework and all other information security policies, procedures, and standards derive their authority from this document and from the management commitment expressed within it.</w:t>
      </w:r>
    </w:p>
    <w:p>
      <w:pPr>
        <w:spacing w:before="240" w:after="80"/>
      </w:pPr>
      <w:r>
        <w:rPr>
          <w:b/>
          <w:sz w:val="24"/>
        </w:rPr>
        <w:t>3.2  Scope</w:t>
      </w:r>
    </w:p>
    <w:p>
      <w:pPr>
        <w:spacing w:before="40" w:after="120" w:line="280" w:lineRule="exact"/>
      </w:pPr>
      <w:r>
        <w:rPr>
          <w:sz w:val="22"/>
        </w:rPr>
        <w:t>This policy applies to all employees, contractors, temporary staff, volunteers, and third-party users who access, process, store, or transmit information assets belonging to the organisation. It applies to all information regardless of its format - electronic, paper-based, or verbal - and to all information systems, networks, facilities, and services used to process that information.</w:t>
      </w:r>
    </w:p>
    <w:p>
      <w:pPr>
        <w:spacing w:before="40" w:after="120" w:line="280" w:lineRule="exact"/>
      </w:pPr>
      <w:r>
        <w:rPr>
          <w:sz w:val="22"/>
        </w:rPr>
        <w:t>The policy applies globally across all business units, departments, subsidiaries, and joint ventures where the organisation has management control.</w:t>
      </w:r>
    </w:p>
    <w:p>
      <w:pPr>
        <w:spacing w:before="240" w:after="80"/>
      </w:pPr>
      <w:r>
        <w:rPr>
          <w:b/>
          <w:sz w:val="24"/>
        </w:rPr>
        <w:t>3.3  Principle</w:t>
      </w:r>
    </w:p>
    <w:p>
      <w:pPr>
        <w:spacing w:before="40" w:after="120" w:line="280" w:lineRule="exact"/>
      </w:pPr>
      <w:r>
        <w:rPr>
          <w:sz w:val="22"/>
        </w:rPr>
        <w:t>Information security within the organisation is managed on the basis of risk, taking into account legal and regulatory requirements, contractual obligations, and business need. Decisions about information security controls are proportionate to the risks identified and are subject to regular review as the organisation's risk environment evolves.</w:t>
      </w:r>
    </w:p>
    <w:p>
      <w:pPr>
        <w:spacing w:before="240" w:after="80"/>
      </w:pPr>
      <w:r>
        <w:rPr>
          <w:b/>
          <w:sz w:val="24"/>
        </w:rPr>
        <w:t>3.4  Management Statement of Commitment</w:t>
      </w:r>
    </w:p>
    <w:p>
      <w:pPr>
        <w:spacing w:before="40" w:after="120" w:line="280" w:lineRule="exact"/>
      </w:pPr>
      <w:r>
        <w:rPr>
          <w:sz w:val="22"/>
        </w:rPr>
        <w:t>The organisation's senior management is committed to establishing and maintaining an effective information security management system (ISMS) in accordance with ISO/IEC 27001:2022. Information security is recognised as a board-level priority and is integral to the organisation's strategy, operations, and culture.</w:t>
      </w:r>
    </w:p>
    <w:p>
      <w:pPr>
        <w:spacing w:before="40" w:after="120" w:line="280" w:lineRule="exact"/>
      </w:pPr>
      <w:r>
        <w:rPr>
          <w:sz w:val="22"/>
        </w:rPr>
        <w:t>Management commits to: providing the resources required to develop, implement, operate, monitor, review, maintain, and improve the ISMS; establishing measurable information security objectives; ensuring that information security requirements are integrated into business processes; and promoting continual improvement of the management system.</w:t>
      </w:r>
    </w:p>
    <w:p>
      <w:pPr>
        <w:spacing w:before="40" w:after="120" w:line="280" w:lineRule="exact"/>
      </w:pPr>
      <w:r>
        <w:rPr>
          <w:sz w:val="22"/>
        </w:rPr>
        <w:t>All personnel are expected to take personal responsibility for protecting the information they work with and to understand that information security is not solely an IT function but a shared organisational responsibility.</w:t>
      </w:r>
    </w:p>
    <w:p>
      <w:pPr>
        <w:spacing w:before="240" w:after="80"/>
      </w:pPr>
      <w:r>
        <w:rPr>
          <w:b/>
          <w:sz w:val="24"/>
        </w:rPr>
        <w:t>3.5  Introduction</w:t>
      </w:r>
    </w:p>
    <w:p>
      <w:pPr>
        <w:spacing w:before="40" w:after="120" w:line="280" w:lineRule="exact"/>
      </w:pPr>
      <w:r>
        <w:rPr>
          <w:sz w:val="22"/>
        </w:rPr>
        <w:t>Information is one of the organisation's most valuable assets. The effective protection of information assets is essential to maintaining trust with customers, partners, and regulators; protecting the organisation's reputation; meeting legal and contractual obligations; and ensuring the continuity of business operations.</w:t>
      </w:r>
    </w:p>
    <w:p>
      <w:pPr>
        <w:spacing w:before="40" w:after="120" w:line="280" w:lineRule="exact"/>
      </w:pPr>
      <w:r>
        <w:rPr>
          <w:sz w:val="22"/>
        </w:rPr>
        <w:t>Failures in information security can result in significant harm, including financial loss, regulatory penalties, reputational damage, and harm to individuals whose personal data may be compromised. By implementing a structured information security management system, the organisation can:</w:t>
      </w:r>
    </w:p>
    <w:p>
      <w:pPr>
        <w:pStyle w:val="ListBullet"/>
        <w:ind w:left="360"/>
      </w:pPr>
      <w:r>
        <w:rPr>
          <w:sz w:val="22"/>
        </w:rPr>
        <w:t>Provide assurance to stakeholders that information is protected appropriately</w:t>
      </w:r>
    </w:p>
    <w:p>
      <w:pPr>
        <w:pStyle w:val="ListBullet"/>
        <w:ind w:left="360"/>
      </w:pPr>
      <w:r>
        <w:rPr>
          <w:sz w:val="22"/>
        </w:rPr>
        <w:t>Ensure that access to information is granted only to those with a legitimate need</w:t>
      </w:r>
    </w:p>
    <w:p>
      <w:pPr>
        <w:pStyle w:val="ListBullet"/>
        <w:ind w:left="360"/>
      </w:pPr>
      <w:r>
        <w:rPr>
          <w:sz w:val="22"/>
        </w:rPr>
        <w:t>Protect personal data in accordance with applicable data protection legislation</w:t>
      </w:r>
    </w:p>
    <w:p>
      <w:pPr>
        <w:pStyle w:val="ListBullet"/>
        <w:ind w:left="360"/>
      </w:pPr>
      <w:r>
        <w:rPr>
          <w:sz w:val="22"/>
        </w:rPr>
        <w:t>Detect and respond to security incidents in a timely and effective manner</w:t>
      </w:r>
    </w:p>
    <w:p>
      <w:pPr>
        <w:pStyle w:val="ListBullet"/>
        <w:ind w:left="360"/>
      </w:pPr>
      <w:r>
        <w:rPr>
          <w:sz w:val="22"/>
        </w:rPr>
        <w:t>Maintain the availability of critical systems and services</w:t>
      </w:r>
    </w:p>
    <w:p>
      <w:pPr>
        <w:pStyle w:val="ListBullet"/>
        <w:ind w:left="360"/>
      </w:pPr>
      <w:r>
        <w:rPr>
          <w:sz w:val="22"/>
        </w:rPr>
        <w:t>Demonstrate due diligence to regulators, customers, and business partners</w:t>
      </w:r>
    </w:p>
    <w:p>
      <w:pPr>
        <w:spacing w:before="240" w:after="80"/>
      </w:pPr>
      <w:r>
        <w:rPr>
          <w:b/>
          <w:sz w:val="24"/>
        </w:rPr>
        <w:t>3.6  Information Security Objectives</w:t>
      </w:r>
    </w:p>
    <w:p>
      <w:pPr>
        <w:spacing w:before="40" w:after="120" w:line="280" w:lineRule="exact"/>
      </w:pPr>
      <w:r>
        <w:rPr>
          <w:sz w:val="22"/>
        </w:rPr>
        <w:t>The organisation has established the following information security objectives, which are reviewed annually by management and aligned with the organisation's strategic direction:</w:t>
      </w:r>
    </w:p>
    <w:p>
      <w:pPr>
        <w:pStyle w:val="ListBullet"/>
        <w:ind w:left="360"/>
      </w:pPr>
      <w:r>
        <w:rPr>
          <w:sz w:val="22"/>
        </w:rPr>
        <w:t>To ensure the confidentiality, integrity, and availability of all organisational information assets, including personal data as defined by applicable data protection legislation</w:t>
      </w:r>
    </w:p>
    <w:p>
      <w:pPr>
        <w:pStyle w:val="ListBullet"/>
        <w:ind w:left="360"/>
      </w:pPr>
      <w:r>
        <w:rPr>
          <w:sz w:val="22"/>
        </w:rPr>
        <w:t>To identify, assess, and treat information security risks in a systematic and documented manner, maintaining risk treatment plans that reduce identified risks to an acceptable level</w:t>
      </w:r>
    </w:p>
    <w:p>
      <w:pPr>
        <w:pStyle w:val="ListBullet"/>
        <w:ind w:left="360"/>
      </w:pPr>
      <w:r>
        <w:rPr>
          <w:sz w:val="22"/>
        </w:rPr>
        <w:t>To implement and maintain technical and organisational controls that are proportionate to the identified risks and aligned with ISO/IEC 27001:2022 Annex A</w:t>
      </w:r>
    </w:p>
    <w:p>
      <w:pPr>
        <w:pStyle w:val="ListBullet"/>
        <w:ind w:left="360"/>
      </w:pPr>
      <w:r>
        <w:rPr>
          <w:sz w:val="22"/>
        </w:rPr>
        <w:t>To effectively manage third-party suppliers who process, store, or transmit information on behalf of the organisation, ensuring that appropriate contractual and technical safeguards are in place</w:t>
      </w:r>
    </w:p>
    <w:p>
      <w:pPr>
        <w:pStyle w:val="ListBullet"/>
        <w:ind w:left="360"/>
      </w:pPr>
      <w:r>
        <w:rPr>
          <w:sz w:val="22"/>
        </w:rPr>
        <w:t>To promote a culture of information security awareness through structured training, communication, and accountability</w:t>
      </w:r>
    </w:p>
    <w:p>
      <w:pPr>
        <w:pStyle w:val="ListBullet"/>
        <w:ind w:left="360"/>
      </w:pPr>
      <w:r>
        <w:rPr>
          <w:sz w:val="22"/>
        </w:rPr>
        <w:t>To meet all applicable legal, regulatory, and contractual obligations related to information security and data protection</w:t>
      </w:r>
    </w:p>
    <w:p>
      <w:pPr>
        <w:pStyle w:val="ListBullet"/>
        <w:ind w:left="360"/>
      </w:pPr>
      <w:r>
        <w:rPr>
          <w:sz w:val="22"/>
        </w:rPr>
        <w:t>To continually improve the information security management system through structured reviews, audits, and management oversight</w:t>
      </w:r>
    </w:p>
    <w:p>
      <w:pPr>
        <w:spacing w:before="240" w:after="80"/>
      </w:pPr>
      <w:r>
        <w:rPr>
          <w:b/>
          <w:sz w:val="24"/>
        </w:rPr>
        <w:t>3.7  Information Security Defined</w:t>
      </w:r>
    </w:p>
    <w:p>
      <w:pPr>
        <w:spacing w:before="40" w:after="120" w:line="280" w:lineRule="exact"/>
      </w:pPr>
      <w:r>
        <w:rPr>
          <w:sz w:val="22"/>
        </w:rPr>
        <w:t>Information security is defined as the preservation of the following three core properties of information, commonly referred to as the CIA triad:</w:t>
      </w:r>
    </w:p>
    <w:p>
      <w:pPr>
        <w:pStyle w:val="ListBullet"/>
        <w:ind w:left="360"/>
      </w:pPr>
      <w:r>
        <w:rPr>
          <w:sz w:val="22"/>
        </w:rPr>
        <w:t>Confidentiality: ensuring that information is accessible only to those who are authorised to access it. This means the right people have the right access.</w:t>
      </w:r>
    </w:p>
    <w:p>
      <w:pPr>
        <w:pStyle w:val="ListBullet"/>
        <w:ind w:left="360"/>
      </w:pPr>
      <w:r>
        <w:rPr>
          <w:sz w:val="22"/>
        </w:rPr>
        <w:t>Integrity: safeguarding the accuracy and completeness of information and information processing methods. This means information is complete and accurate - the right data.</w:t>
      </w:r>
    </w:p>
    <w:p>
      <w:pPr>
        <w:pStyle w:val="ListBullet"/>
        <w:ind w:left="360"/>
      </w:pPr>
      <w:r>
        <w:rPr>
          <w:sz w:val="22"/>
        </w:rPr>
        <w:t>Availability: ensuring that authorised users have access to information and associated assets when required. This means information is available at the right time.</w:t>
      </w:r>
    </w:p>
    <w:p>
      <w:pPr>
        <w:spacing w:before="40" w:after="120" w:line="280" w:lineRule="exact"/>
      </w:pPr>
      <w:r>
        <w:rPr>
          <w:sz w:val="22"/>
        </w:rPr>
        <w:t>In addition to the core CIA triad, the organisation also considers the following properties where relevant:</w:t>
      </w:r>
    </w:p>
    <w:p>
      <w:pPr>
        <w:pStyle w:val="ListBullet"/>
        <w:ind w:left="360"/>
      </w:pPr>
      <w:r>
        <w:rPr>
          <w:sz w:val="22"/>
        </w:rPr>
        <w:t>Authenticity: the property of being genuine and verifiable</w:t>
      </w:r>
    </w:p>
    <w:p>
      <w:pPr>
        <w:pStyle w:val="ListBullet"/>
        <w:ind w:left="360"/>
      </w:pPr>
      <w:r>
        <w:rPr>
          <w:sz w:val="22"/>
        </w:rPr>
        <w:t>Accountability: the ability to trace actions of an entity uniquely to that entity</w:t>
      </w:r>
    </w:p>
    <w:p>
      <w:pPr>
        <w:pStyle w:val="ListBullet"/>
        <w:ind w:left="360"/>
      </w:pPr>
      <w:r>
        <w:rPr>
          <w:sz w:val="22"/>
        </w:rPr>
        <w:t>Non-repudiation: the ability to prove that an event or action has taken place and cannot be denied by the parties involved</w:t>
      </w:r>
    </w:p>
    <w:p>
      <w:pPr>
        <w:pStyle w:val="ListBullet"/>
        <w:ind w:left="360"/>
      </w:pPr>
      <w:r>
        <w:rPr>
          <w:sz w:val="22"/>
        </w:rPr>
        <w:t>Reliability: the property of consistent, intended behaviour and results</w:t>
      </w:r>
    </w:p>
    <w:p>
      <w:pPr>
        <w:spacing w:before="240" w:after="80"/>
      </w:pPr>
      <w:r>
        <w:rPr>
          <w:b/>
          <w:sz w:val="24"/>
        </w:rPr>
        <w:t>3.8  Information Security Policy Framework</w:t>
      </w:r>
    </w:p>
    <w:p>
      <w:pPr>
        <w:spacing w:before="40" w:after="120" w:line="280" w:lineRule="exact"/>
      </w:pPr>
      <w:r>
        <w:rPr>
          <w:sz w:val="22"/>
        </w:rPr>
        <w:t>The information security management system is supported by a comprehensive information security policy framework. This overarching policy is supported by the following documented policies, each of which addresses a specific domain of information security:</w:t>
      </w:r>
    </w:p>
    <w:p>
      <w:pPr>
        <w:pStyle w:val="ListBullet"/>
        <w:ind w:left="360"/>
      </w:pPr>
      <w:r>
        <w:rPr>
          <w:sz w:val="22"/>
        </w:rPr>
        <w:t>DP-01  Data Protection Policy</w:t>
      </w:r>
    </w:p>
    <w:p>
      <w:pPr>
        <w:pStyle w:val="ListBullet"/>
        <w:ind w:left="360"/>
      </w:pPr>
      <w:r>
        <w:rPr>
          <w:sz w:val="22"/>
        </w:rPr>
        <w:t>DP-02  Data Retention Policy</w:t>
      </w:r>
    </w:p>
    <w:p>
      <w:pPr>
        <w:pStyle w:val="ListBullet"/>
        <w:ind w:left="360"/>
      </w:pPr>
      <w:r>
        <w:rPr>
          <w:sz w:val="22"/>
        </w:rPr>
        <w:t>IS-01  Information Security Policy (this policy)</w:t>
      </w:r>
    </w:p>
    <w:p>
      <w:pPr>
        <w:pStyle w:val="ListBullet"/>
        <w:ind w:left="360"/>
      </w:pPr>
      <w:r>
        <w:rPr>
          <w:sz w:val="22"/>
        </w:rPr>
        <w:t>IS-02  Access Control Policy</w:t>
      </w:r>
    </w:p>
    <w:p>
      <w:pPr>
        <w:pStyle w:val="ListBullet"/>
        <w:ind w:left="360"/>
      </w:pPr>
      <w:r>
        <w:rPr>
          <w:sz w:val="22"/>
        </w:rPr>
        <w:t>IS-03  Asset Management Policy</w:t>
      </w:r>
    </w:p>
    <w:p>
      <w:pPr>
        <w:pStyle w:val="ListBullet"/>
        <w:ind w:left="360"/>
      </w:pPr>
      <w:r>
        <w:rPr>
          <w:sz w:val="22"/>
        </w:rPr>
        <w:t>IS-04  Risk Management Policy</w:t>
      </w:r>
    </w:p>
    <w:p>
      <w:pPr>
        <w:pStyle w:val="ListBullet"/>
        <w:ind w:left="360"/>
      </w:pPr>
      <w:r>
        <w:rPr>
          <w:sz w:val="22"/>
        </w:rPr>
        <w:t>IS-05  Information Classification and Handling Policy</w:t>
      </w:r>
    </w:p>
    <w:p>
      <w:pPr>
        <w:pStyle w:val="ListBullet"/>
        <w:ind w:left="360"/>
      </w:pPr>
      <w:r>
        <w:rPr>
          <w:sz w:val="22"/>
        </w:rPr>
        <w:t>IS-06  Information Security Awareness and Training Policy</w:t>
      </w:r>
    </w:p>
    <w:p>
      <w:pPr>
        <w:pStyle w:val="ListBullet"/>
        <w:ind w:left="360"/>
      </w:pPr>
      <w:r>
        <w:rPr>
          <w:sz w:val="22"/>
        </w:rPr>
        <w:t>IS-07  Acceptable Use Policy</w:t>
      </w:r>
    </w:p>
    <w:p>
      <w:pPr>
        <w:pStyle w:val="ListBullet"/>
        <w:ind w:left="360"/>
      </w:pPr>
      <w:r>
        <w:rPr>
          <w:sz w:val="22"/>
        </w:rPr>
        <w:t>IS-08  Clear Desk and Clear Screen Policy</w:t>
      </w:r>
    </w:p>
    <w:p>
      <w:pPr>
        <w:pStyle w:val="ListBullet"/>
        <w:ind w:left="360"/>
      </w:pPr>
      <w:r>
        <w:rPr>
          <w:sz w:val="22"/>
        </w:rPr>
        <w:t>IS-09  Mobile Device and Teleworking Policy</w:t>
      </w:r>
    </w:p>
    <w:p>
      <w:pPr>
        <w:pStyle w:val="ListBullet"/>
        <w:ind w:left="360"/>
      </w:pPr>
      <w:r>
        <w:rPr>
          <w:sz w:val="22"/>
        </w:rPr>
        <w:t>IS-10  Business Continuity Policy</w:t>
      </w:r>
    </w:p>
    <w:p>
      <w:pPr>
        <w:pStyle w:val="ListBullet"/>
        <w:ind w:left="360"/>
      </w:pPr>
      <w:r>
        <w:rPr>
          <w:sz w:val="22"/>
        </w:rPr>
        <w:t>IS-11  Backup Policy</w:t>
      </w:r>
    </w:p>
    <w:p>
      <w:pPr>
        <w:pStyle w:val="ListBullet"/>
        <w:ind w:left="360"/>
      </w:pPr>
      <w:r>
        <w:rPr>
          <w:sz w:val="22"/>
        </w:rPr>
        <w:t>IS-12  Malware and Antivirus Policy</w:t>
      </w:r>
    </w:p>
    <w:p>
      <w:pPr>
        <w:pStyle w:val="ListBullet"/>
        <w:ind w:left="360"/>
      </w:pPr>
      <w:r>
        <w:rPr>
          <w:sz w:val="22"/>
        </w:rPr>
        <w:t>IS-13  Change Management Policy</w:t>
      </w:r>
    </w:p>
    <w:p>
      <w:pPr>
        <w:pStyle w:val="ListBullet"/>
        <w:ind w:left="360"/>
      </w:pPr>
      <w:r>
        <w:rPr>
          <w:sz w:val="22"/>
        </w:rPr>
        <w:t>IS-14  Third-Party Supplier Security Policy</w:t>
      </w:r>
    </w:p>
    <w:p>
      <w:pPr>
        <w:pStyle w:val="ListBullet"/>
        <w:ind w:left="360"/>
      </w:pPr>
      <w:r>
        <w:rPr>
          <w:sz w:val="22"/>
        </w:rPr>
        <w:t>IS-15  Continual Improvement Policy</w:t>
      </w:r>
    </w:p>
    <w:p>
      <w:pPr>
        <w:pStyle w:val="ListBullet"/>
        <w:ind w:left="360"/>
      </w:pPr>
      <w:r>
        <w:rPr>
          <w:sz w:val="22"/>
        </w:rPr>
        <w:t>IS-16  Logging and Monitoring Policy</w:t>
      </w:r>
    </w:p>
    <w:p>
      <w:pPr>
        <w:pStyle w:val="ListBullet"/>
        <w:ind w:left="360"/>
      </w:pPr>
      <w:r>
        <w:rPr>
          <w:sz w:val="22"/>
        </w:rPr>
        <w:t>IS-17  Network Security Management Policy</w:t>
      </w:r>
    </w:p>
    <w:p>
      <w:pPr>
        <w:pStyle w:val="ListBullet"/>
        <w:ind w:left="360"/>
      </w:pPr>
      <w:r>
        <w:rPr>
          <w:sz w:val="22"/>
        </w:rPr>
        <w:t>IS-18  Information Transfer Policy</w:t>
      </w:r>
    </w:p>
    <w:p>
      <w:pPr>
        <w:pStyle w:val="ListBullet"/>
        <w:ind w:left="360"/>
      </w:pPr>
      <w:r>
        <w:rPr>
          <w:sz w:val="22"/>
        </w:rPr>
        <w:t>IS-19  Secure Development Policy</w:t>
      </w:r>
    </w:p>
    <w:p>
      <w:pPr>
        <w:pStyle w:val="ListBullet"/>
        <w:ind w:left="360"/>
      </w:pPr>
      <w:r>
        <w:rPr>
          <w:sz w:val="22"/>
        </w:rPr>
        <w:t>IS-20  Physical and Environmental Security Policy</w:t>
      </w:r>
    </w:p>
    <w:p>
      <w:pPr>
        <w:pStyle w:val="ListBullet"/>
        <w:ind w:left="360"/>
      </w:pPr>
      <w:r>
        <w:rPr>
          <w:sz w:val="22"/>
        </w:rPr>
        <w:t>IS-21  Cryptographic Key Management Policy</w:t>
      </w:r>
    </w:p>
    <w:p>
      <w:pPr>
        <w:pStyle w:val="ListBullet"/>
        <w:ind w:left="360"/>
      </w:pPr>
      <w:r>
        <w:rPr>
          <w:sz w:val="22"/>
        </w:rPr>
        <w:t>IS-22  Cryptographic Control and Encryption Policy</w:t>
      </w:r>
    </w:p>
    <w:p>
      <w:pPr>
        <w:pStyle w:val="ListBullet"/>
        <w:ind w:left="360"/>
      </w:pPr>
      <w:r>
        <w:rPr>
          <w:sz w:val="22"/>
        </w:rPr>
        <w:t>IS-23  Document and Records Management Policy</w:t>
      </w:r>
    </w:p>
    <w:p>
      <w:pPr>
        <w:pStyle w:val="ListBullet"/>
        <w:ind w:left="360"/>
      </w:pPr>
      <w:r>
        <w:rPr>
          <w:sz w:val="22"/>
        </w:rPr>
        <w:t>IS-24  Incident Management Policy</w:t>
      </w:r>
    </w:p>
    <w:p>
      <w:pPr>
        <w:pStyle w:val="ListBullet"/>
        <w:ind w:left="360"/>
      </w:pPr>
      <w:r>
        <w:rPr>
          <w:sz w:val="22"/>
        </w:rPr>
        <w:t>IS-25  Patch Management Policy</w:t>
      </w:r>
    </w:p>
    <w:p>
      <w:pPr>
        <w:pStyle w:val="ListBullet"/>
        <w:ind w:left="360"/>
      </w:pPr>
      <w:r>
        <w:rPr>
          <w:sz w:val="22"/>
        </w:rPr>
        <w:t>IS-26  Cloud Services Policy</w:t>
      </w:r>
    </w:p>
    <w:p>
      <w:pPr>
        <w:pStyle w:val="ListBullet"/>
        <w:ind w:left="360"/>
      </w:pPr>
      <w:r>
        <w:rPr>
          <w:sz w:val="22"/>
        </w:rPr>
        <w:t>IS-27  Intellectual Property Rights Policy</w:t>
      </w:r>
    </w:p>
    <w:p>
      <w:pPr>
        <w:spacing w:before="40" w:after="120" w:line="280" w:lineRule="exact"/>
      </w:pPr>
      <w:r>
        <w:rPr>
          <w:sz w:val="22"/>
        </w:rPr>
        <w:t>All policies within the framework are reviewed at least annually or following a significant change to the organisation's risk environment. They are made available to all relevant personnel and third parties through the organisation's document management system.</w:t>
      </w:r>
    </w:p>
    <w:p>
      <w:pPr>
        <w:spacing w:before="240" w:after="80"/>
      </w:pPr>
      <w:r>
        <w:rPr>
          <w:b/>
          <w:sz w:val="24"/>
        </w:rPr>
        <w:t>3.9  Information Security Roles and Responsibilities</w:t>
      </w:r>
    </w:p>
    <w:p>
      <w:pPr>
        <w:spacing w:before="40" w:after="120" w:line="280" w:lineRule="exact"/>
      </w:pPr>
      <w:r>
        <w:rPr>
          <w:sz w:val="22"/>
        </w:rPr>
        <w:t>Information security is the responsibility of all personnel within the organisation. However, specific roles carry defined responsibilities for the management and oversight of the ISMS:</w:t>
      </w:r>
    </w:p>
    <w:p>
      <w:pPr>
        <w:pStyle w:val="ListBullet"/>
        <w:ind w:left="360"/>
      </w:pPr>
      <w:r>
        <w:rPr>
          <w:sz w:val="22"/>
        </w:rPr>
        <w:t>Board / Senior Management: set the strategic direction for information security, approve policy and risk appetite, allocate adequate resources, and demonstrate visible commitment to information security</w:t>
      </w:r>
    </w:p>
    <w:p>
      <w:pPr>
        <w:pStyle w:val="ListBullet"/>
        <w:ind w:left="360"/>
      </w:pPr>
      <w:r>
        <w:rPr>
          <w:sz w:val="22"/>
        </w:rPr>
        <w:t>Information Security Manager: overall responsibility for the day-to-day management of the ISMS, policy maintenance, risk management, incident coordination, and reporting to senior management</w:t>
      </w:r>
    </w:p>
    <w:p>
      <w:pPr>
        <w:pStyle w:val="ListBullet"/>
        <w:ind w:left="360"/>
      </w:pPr>
      <w:r>
        <w:rPr>
          <w:sz w:val="22"/>
        </w:rPr>
        <w:t>IT Department: responsible for implementing and maintaining technical controls, managing systems and networks securely, and providing technical support to the ISMS</w:t>
      </w:r>
    </w:p>
    <w:p>
      <w:pPr>
        <w:pStyle w:val="ListBullet"/>
        <w:ind w:left="360"/>
      </w:pPr>
      <w:r>
        <w:rPr>
          <w:sz w:val="22"/>
        </w:rPr>
        <w:t>HR Department: responsible for information security elements of the employee lifecycle including pre-employment screening, onboarding, disciplinary procedures, and offboarding</w:t>
      </w:r>
    </w:p>
    <w:p>
      <w:pPr>
        <w:pStyle w:val="ListBullet"/>
        <w:ind w:left="360"/>
      </w:pPr>
      <w:r>
        <w:rPr>
          <w:sz w:val="22"/>
        </w:rPr>
        <w:t>All Employees and Contractors: responsible for understanding and complying with information security policies, completing required training, and reporting suspected incidents or policy violations</w:t>
      </w:r>
    </w:p>
    <w:p>
      <w:pPr>
        <w:spacing w:before="40" w:after="120" w:line="280" w:lineRule="exact"/>
      </w:pPr>
      <w:r>
        <w:rPr>
          <w:sz w:val="22"/>
        </w:rPr>
        <w:t>Specific roles and responsibilities for the operation of the ISMS are defined and documented in the Information Security Roles and Responsibilities Register.</w:t>
      </w:r>
    </w:p>
    <w:p>
      <w:pPr>
        <w:spacing w:before="240" w:after="80"/>
      </w:pPr>
      <w:r>
        <w:rPr>
          <w:b/>
          <w:sz w:val="24"/>
        </w:rPr>
        <w:t>3.10  Monitoring</w:t>
      </w:r>
    </w:p>
    <w:p>
      <w:pPr>
        <w:spacing w:before="40" w:after="120" w:line="280" w:lineRule="exact"/>
      </w:pPr>
      <w:r>
        <w:rPr>
          <w:sz w:val="22"/>
        </w:rPr>
        <w:t>Compliance with the policies and procedures of the information security management system is monitored through a combination of technical controls, management oversight, and independent review. The Management Review Team meets at defined intervals to assess the performance of the ISMS. Internal audits are conducted at least annually, and external audits are conducted in accordance with certification requirements. Key performance indicators and metrics are reported to management on a periodic basis.</w:t>
      </w:r>
    </w:p>
    <w:p>
      <w:pPr>
        <w:spacing w:before="240" w:after="80"/>
      </w:pPr>
      <w:r>
        <w:rPr>
          <w:b/>
          <w:sz w:val="24"/>
        </w:rPr>
        <w:t>3.11  Legal and Regulatory Obligations</w:t>
      </w:r>
    </w:p>
    <w:p>
      <w:pPr>
        <w:spacing w:before="40" w:after="120" w:line="280" w:lineRule="exact"/>
      </w:pPr>
      <w:r>
        <w:rPr>
          <w:sz w:val="22"/>
        </w:rPr>
        <w:t>The organisation takes its legal and regulatory obligations seriously. Applicable requirements are identified, documented, and maintained in the Legal and Contractual Requirements Register. This includes but is not limited to data protection legislation, industry-specific regulatory requirements, and contractual security obligations with customers and partners. Compliance with these obligations is monitored and any changes to the legal landscape are assessed for their impact on the ISMS.</w:t>
      </w:r>
    </w:p>
    <w:p>
      <w:pPr>
        <w:spacing w:before="240" w:after="80"/>
      </w:pPr>
      <w:r>
        <w:rPr>
          <w:b/>
          <w:sz w:val="24"/>
        </w:rPr>
        <w:t>3.12  Training and Awareness</w:t>
      </w:r>
    </w:p>
    <w:p>
      <w:pPr>
        <w:spacing w:before="40" w:after="120" w:line="280" w:lineRule="exact"/>
      </w:pPr>
      <w:r>
        <w:rPr>
          <w:sz w:val="22"/>
        </w:rPr>
        <w:t>All policies are made readily available to employees and relevant third-party users through the organisation's intranet and document management system. A structured security awareness and training programme is in place to communicate policies, procedures, and security concepts to all personnel. Training needs are assessed based on role requirements, and completion is tracked in the Competency Matrix. Awareness activities are conducted throughout the year and are updated to address emerging threats and changes to the policy framework.</w:t>
      </w:r>
    </w:p>
    <w:p>
      <w:pPr>
        <w:spacing w:before="240" w:after="80"/>
      </w:pPr>
      <w:r>
        <w:rPr>
          <w:b/>
          <w:sz w:val="24"/>
        </w:rPr>
        <w:t>3.13  Continual Improvement</w:t>
      </w:r>
    </w:p>
    <w:p>
      <w:pPr>
        <w:spacing w:before="40" w:after="120" w:line="280" w:lineRule="exact"/>
      </w:pPr>
      <w:r>
        <w:rPr>
          <w:sz w:val="22"/>
        </w:rPr>
        <w:t>The information security management system is subject to continual improvement. Opportunities for improvement are identified through internal and external audits, management reviews, incident reviews, risk assessments, and employee feedback. The Continual Improvement Policy sets out the organisation's approach to capturing, evaluating, and implementing improvements. All improvements are tracked and reported to management.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5.1 - Policies for information security</w:t>
      </w:r>
    </w:p>
    <w:p>
      <w:pPr>
        <w:pStyle w:val="ListBullet"/>
        <w:ind w:left="360"/>
      </w:pPr>
      <w:r>
        <w:rPr>
          <w:sz w:val="22"/>
        </w:rPr>
        <w:t>5.2 - Information security roles and responsibilities</w:t>
      </w:r>
    </w:p>
    <w:p>
      <w:pPr>
        <w:pStyle w:val="ListBullet"/>
        <w:ind w:left="360"/>
      </w:pPr>
      <w:r>
        <w:rPr>
          <w:sz w:val="22"/>
        </w:rPr>
        <w:t>5.4 - Management responsibilities</w:t>
      </w:r>
    </w:p>
    <w:p>
      <w:pPr>
        <w:pStyle w:val="ListBullet"/>
        <w:ind w:left="360"/>
      </w:pPr>
      <w:r>
        <w:rPr>
          <w:sz w:val="22"/>
        </w:rPr>
        <w:t>6.1 - Actions to address risks and opportunities</w:t>
      </w:r>
    </w:p>
    <w:p>
      <w:pPr>
        <w:pStyle w:val="ListBullet"/>
        <w:ind w:left="360"/>
      </w:pPr>
      <w:r>
        <w:rPr>
          <w:sz w:val="22"/>
        </w:rPr>
        <w:t>6.2 - Information security objectives</w:t>
      </w:r>
    </w:p>
    <w:p>
      <w:pPr>
        <w:pStyle w:val="ListBullet"/>
        <w:ind w:left="360"/>
      </w:pPr>
      <w:r>
        <w:rPr>
          <w:sz w:val="22"/>
        </w:rPr>
        <w:t>7.1 - Resources</w:t>
      </w:r>
    </w:p>
    <w:p>
      <w:pPr>
        <w:pStyle w:val="ListBullet"/>
        <w:ind w:left="360"/>
      </w:pPr>
      <w:r>
        <w:rPr>
          <w:sz w:val="22"/>
        </w:rPr>
        <w:t>7.2 - Competence</w:t>
      </w:r>
    </w:p>
    <w:p>
      <w:pPr>
        <w:pStyle w:val="ListBullet"/>
        <w:ind w:left="360"/>
      </w:pPr>
      <w:r>
        <w:rPr>
          <w:sz w:val="22"/>
        </w:rPr>
        <w:t>7.3 - Awareness</w:t>
      </w:r>
    </w:p>
    <w:p>
      <w:pPr>
        <w:pStyle w:val="ListBullet"/>
        <w:ind w:left="360"/>
      </w:pPr>
      <w:r>
        <w:rPr>
          <w:sz w:val="22"/>
        </w:rPr>
        <w:t>9.1 - Monitoring, measurement, analysis and evaluation</w:t>
      </w:r>
    </w:p>
    <w:p>
      <w:pPr>
        <w:pStyle w:val="ListBullet"/>
        <w:ind w:left="360"/>
      </w:pPr>
      <w:r>
        <w:rPr>
          <w:sz w:val="22"/>
        </w:rPr>
        <w:t>9.3 - Management review</w:t>
      </w:r>
    </w:p>
    <w:p>
      <w:pPr>
        <w:pStyle w:val="ListBullet"/>
        <w:ind w:left="360"/>
      </w:pPr>
      <w:r>
        <w:rPr>
          <w:sz w:val="22"/>
        </w:rPr>
        <w:t>10.1 - Continual improvement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