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DATA STORAGE AND RETENTION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Data Storage and Retention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Data Storage and Retention Policy</w:t>
      </w:r>
    </w:p>
    <w:p>
      <w:pPr>
        <w:spacing w:before="240" w:after="80"/>
      </w:pPr>
      <w:r>
        <w:rPr>
          <w:b/>
          <w:sz w:val="24"/>
        </w:rPr>
        <w:t>3.1  Purpose</w:t>
      </w:r>
    </w:p>
    <w:p>
      <w:pPr>
        <w:spacing w:before="40" w:after="120" w:line="280" w:lineRule="exact"/>
      </w:pPr>
      <w:r>
        <w:rPr>
          <w:sz w:val="22"/>
        </w:rPr>
        <w:t>This policy defines the requirements for storing and retaining organisational information for the appropriate length of time, in the appropriate location, and with the appropriate protections. It ensures that the organisation meets its legal, regulatory, and contractual obligations while avoiding the excessive retention of information that no longer has business value.</w:t>
      </w:r>
    </w:p>
    <w:p>
      <w:pPr>
        <w:spacing w:before="240" w:after="80"/>
      </w:pPr>
      <w:r>
        <w:rPr>
          <w:b/>
          <w:sz w:val="24"/>
        </w:rPr>
        <w:t>3.2  Scope</w:t>
      </w:r>
    </w:p>
    <w:p>
      <w:pPr>
        <w:spacing w:before="40" w:after="120" w:line="280" w:lineRule="exact"/>
      </w:pPr>
      <w:r>
        <w:rPr>
          <w:sz w:val="22"/>
        </w:rPr>
        <w:t>This policy applies to all information owned, processed, or stored by the organisation, regardless of format or location, including data held in cloud services, on-premises systems, removable media, and physical files.</w:t>
      </w:r>
    </w:p>
    <w:p>
      <w:pPr>
        <w:spacing w:before="240" w:after="80"/>
      </w:pPr>
      <w:r>
        <w:rPr>
          <w:b/>
          <w:sz w:val="24"/>
        </w:rPr>
        <w:t>3.3  Definitions</w:t>
      </w:r>
    </w:p>
    <w:p>
      <w:pPr>
        <w:spacing w:before="60" w:after="60"/>
      </w:pPr>
      <w:r>
        <w:rPr>
          <w:b/>
          <w:sz w:val="22"/>
        </w:rPr>
        <w:t xml:space="preserve">Retention Period: </w:t>
      </w:r>
      <w:r>
        <w:rPr>
          <w:sz w:val="22"/>
        </w:rPr>
        <w:t>The defined length of time that a category of information must be retained before it is securely disposed of</w:t>
      </w:r>
    </w:p>
    <w:p>
      <w:pPr>
        <w:spacing w:before="60" w:after="60"/>
      </w:pPr>
      <w:r>
        <w:rPr>
          <w:b/>
          <w:sz w:val="22"/>
        </w:rPr>
        <w:t xml:space="preserve">Data Retention Schedule: </w:t>
      </w:r>
      <w:r>
        <w:rPr>
          <w:sz w:val="22"/>
        </w:rPr>
        <w:t>The master document that maps data categories to their retention periods, lawful basis, and disposal methods</w:t>
      </w:r>
    </w:p>
    <w:p>
      <w:pPr>
        <w:spacing w:before="60" w:after="60"/>
      </w:pPr>
      <w:r>
        <w:rPr>
          <w:b/>
          <w:sz w:val="22"/>
        </w:rPr>
        <w:t xml:space="preserve">Live Storage: </w:t>
      </w:r>
      <w:r>
        <w:rPr>
          <w:sz w:val="22"/>
        </w:rPr>
        <w:t>Storage where information is actively used and accessible to authorised users</w:t>
      </w:r>
    </w:p>
    <w:p>
      <w:pPr>
        <w:spacing w:before="60" w:after="60"/>
      </w:pPr>
      <w:r>
        <w:rPr>
          <w:b/>
          <w:sz w:val="22"/>
        </w:rPr>
        <w:t xml:space="preserve">Archive Storage: </w:t>
      </w:r>
      <w:r>
        <w:rPr>
          <w:sz w:val="22"/>
        </w:rPr>
        <w:t>Storage where information is held for legal, regulatory, or business reasons but is no longer in active use</w:t>
      </w:r>
    </w:p>
    <w:p>
      <w:pPr>
        <w:spacing w:before="60" w:after="60"/>
      </w:pPr>
      <w:r>
        <w:rPr>
          <w:b/>
          <w:sz w:val="22"/>
        </w:rPr>
        <w:t xml:space="preserve">Disposal: </w:t>
      </w:r>
      <w:r>
        <w:rPr>
          <w:sz w:val="22"/>
        </w:rPr>
        <w:t>Secure deletion or destruction of information at the end of its retention period</w:t>
      </w:r>
    </w:p>
    <w:p>
      <w:pPr>
        <w:spacing w:before="240" w:after="80"/>
      </w:pPr>
      <w:r>
        <w:rPr>
          <w:b/>
          <w:sz w:val="24"/>
        </w:rPr>
        <w:t>3.4  Policy Requirements</w:t>
      </w:r>
    </w:p>
    <w:p>
      <w:pPr>
        <w:spacing w:before="240" w:after="80"/>
      </w:pPr>
      <w:r>
        <w:rPr>
          <w:b/>
          <w:sz w:val="22"/>
        </w:rPr>
        <w:t>Storage Requirements</w:t>
      </w:r>
    </w:p>
    <w:p>
      <w:pPr>
        <w:pStyle w:val="ListBullet"/>
        <w:ind w:left="360"/>
      </w:pPr>
      <w:r>
        <w:rPr>
          <w:sz w:val="22"/>
        </w:rPr>
        <w:t>Information must be stored in approved storage locations that meet the security requirements of the data classification</w:t>
      </w:r>
    </w:p>
    <w:p>
      <w:pPr>
        <w:pStyle w:val="ListBullet"/>
        <w:ind w:left="360"/>
      </w:pPr>
      <w:r>
        <w:rPr>
          <w:sz w:val="22"/>
        </w:rPr>
        <w:t>Cloud storage must only be used where the cloud service has been approved through the Cloud Service Security Requirements</w:t>
      </w:r>
    </w:p>
    <w:p>
      <w:pPr>
        <w:pStyle w:val="ListBullet"/>
        <w:ind w:left="360"/>
      </w:pPr>
      <w:r>
        <w:rPr>
          <w:sz w:val="22"/>
        </w:rPr>
        <w:t>Personal removable media must not be used for organisational data</w:t>
      </w:r>
    </w:p>
    <w:p>
      <w:pPr>
        <w:pStyle w:val="ListBullet"/>
        <w:ind w:left="360"/>
      </w:pPr>
      <w:r>
        <w:rPr>
          <w:sz w:val="22"/>
        </w:rPr>
        <w:t>Storage capacity must be planned and monitored to maintain availability</w:t>
      </w:r>
    </w:p>
    <w:p>
      <w:pPr>
        <w:spacing w:before="240" w:after="80"/>
      </w:pPr>
      <w:r>
        <w:rPr>
          <w:b/>
          <w:sz w:val="22"/>
        </w:rPr>
        <w:t>Retention Periods</w:t>
      </w:r>
    </w:p>
    <w:p>
      <w:pPr>
        <w:pStyle w:val="ListBullet"/>
        <w:ind w:left="360"/>
      </w:pPr>
      <w:r>
        <w:rPr>
          <w:sz w:val="22"/>
        </w:rPr>
        <w:t>Retention periods are defined in the Data Retention Schedule and are based on legal, regulatory, contractual, and business requirements</w:t>
      </w:r>
    </w:p>
    <w:p>
      <w:pPr>
        <w:pStyle w:val="ListBullet"/>
        <w:ind w:left="360"/>
      </w:pPr>
      <w:r>
        <w:rPr>
          <w:sz w:val="22"/>
        </w:rPr>
        <w:t>Retention periods must be reviewed at least annually and following changes to applicable law</w:t>
      </w:r>
    </w:p>
    <w:p>
      <w:pPr>
        <w:pStyle w:val="ListBullet"/>
        <w:ind w:left="360"/>
      </w:pPr>
      <w:r>
        <w:rPr>
          <w:sz w:val="22"/>
        </w:rPr>
        <w:t>Information should not be retained for longer than the defined retention period unless required by an active legal hold</w:t>
      </w:r>
    </w:p>
    <w:p>
      <w:pPr>
        <w:spacing w:before="240" w:after="80"/>
      </w:pPr>
      <w:r>
        <w:rPr>
          <w:b/>
          <w:sz w:val="22"/>
        </w:rPr>
        <w:t>Archiving</w:t>
      </w:r>
    </w:p>
    <w:p>
      <w:pPr>
        <w:pStyle w:val="ListBullet"/>
        <w:ind w:left="360"/>
      </w:pPr>
      <w:r>
        <w:rPr>
          <w:sz w:val="22"/>
        </w:rPr>
        <w:t>Information that has reached the end of its active life but must be retained should be moved to archive storage</w:t>
      </w:r>
    </w:p>
    <w:p>
      <w:pPr>
        <w:pStyle w:val="ListBullet"/>
        <w:ind w:left="360"/>
      </w:pPr>
      <w:r>
        <w:rPr>
          <w:sz w:val="22"/>
        </w:rPr>
        <w:t>Archive storage must protect the integrity and accessibility of the information for the duration of the retention period</w:t>
      </w:r>
    </w:p>
    <w:p>
      <w:pPr>
        <w:pStyle w:val="ListBullet"/>
        <w:ind w:left="360"/>
      </w:pPr>
      <w:r>
        <w:rPr>
          <w:sz w:val="22"/>
        </w:rPr>
        <w:t>Access to archive storage must be controlled and logged</w:t>
      </w:r>
    </w:p>
    <w:p>
      <w:pPr>
        <w:spacing w:before="240" w:after="80"/>
      </w:pPr>
      <w:r>
        <w:rPr>
          <w:b/>
          <w:sz w:val="22"/>
        </w:rPr>
        <w:t>Disposal</w:t>
      </w:r>
    </w:p>
    <w:p>
      <w:pPr>
        <w:pStyle w:val="ListBullet"/>
        <w:ind w:left="360"/>
      </w:pPr>
      <w:r>
        <w:rPr>
          <w:sz w:val="22"/>
        </w:rPr>
        <w:t>Information that has reached the end of its retention period must be securely disposed of in line with the Data Deletion Procedure</w:t>
      </w:r>
    </w:p>
    <w:p>
      <w:pPr>
        <w:pStyle w:val="ListBullet"/>
        <w:ind w:left="360"/>
      </w:pPr>
      <w:r>
        <w:rPr>
          <w:sz w:val="22"/>
        </w:rPr>
        <w:t>Disposal of information held by third parties must be confirmed in writing where required by contract or regulation</w:t>
      </w:r>
    </w:p>
    <w:p>
      <w:pPr>
        <w:pStyle w:val="ListBullet"/>
        <w:ind w:left="360"/>
      </w:pPr>
      <w:r>
        <w:rPr>
          <w:sz w:val="22"/>
        </w:rPr>
        <w:t>Records of disposal must be maintained as evidence</w:t>
      </w:r>
    </w:p>
    <w:p>
      <w:pPr>
        <w:spacing w:before="240" w:after="80"/>
      </w:pPr>
      <w:r>
        <w:rPr>
          <w:b/>
          <w:sz w:val="22"/>
        </w:rPr>
        <w:t>Legal Holds</w:t>
      </w:r>
    </w:p>
    <w:p>
      <w:pPr>
        <w:pStyle w:val="ListBullet"/>
        <w:ind w:left="360"/>
      </w:pPr>
      <w:r>
        <w:rPr>
          <w:sz w:val="22"/>
        </w:rPr>
        <w:t>Where information is subject to actual or anticipated litigation, regulatory investigation, or audit, normal retention rules are suspended and the information must be preserved</w:t>
      </w:r>
    </w:p>
    <w:p>
      <w:pPr>
        <w:pStyle w:val="ListBullet"/>
        <w:ind w:left="360"/>
      </w:pPr>
      <w:r>
        <w:rPr>
          <w:sz w:val="22"/>
        </w:rPr>
        <w:t>Legal holds must be issued by Legal and tracked centrally</w:t>
      </w:r>
    </w:p>
    <w:p>
      <w:pPr>
        <w:spacing w:before="240" w:after="80"/>
      </w:pPr>
      <w:r>
        <w:rPr>
          <w:b/>
          <w:sz w:val="24"/>
        </w:rPr>
        <w:t>3.5  Roles and Responsibilities</w:t>
      </w:r>
    </w:p>
    <w:p>
      <w:pPr>
        <w:spacing w:before="80"/>
      </w:pPr>
      <w:r>
        <w:rPr>
          <w:b/>
          <w:sz w:val="22"/>
        </w:rPr>
        <w:t xml:space="preserve">Data Owners: </w:t>
      </w:r>
      <w:r>
        <w:rPr>
          <w:sz w:val="22"/>
        </w:rPr>
        <w:t>Define retention periods for the information they own and approve disposal at end of life</w:t>
      </w:r>
    </w:p>
    <w:p>
      <w:pPr>
        <w:spacing w:before="80"/>
      </w:pPr>
      <w:r>
        <w:rPr>
          <w:b/>
          <w:sz w:val="22"/>
        </w:rPr>
        <w:t xml:space="preserve">IT Department: </w:t>
      </w:r>
      <w:r>
        <w:rPr>
          <w:sz w:val="22"/>
        </w:rPr>
        <w:t>Implements technical storage solutions and supports retention and disposal activities</w:t>
      </w:r>
    </w:p>
    <w:p>
      <w:pPr>
        <w:spacing w:before="80"/>
      </w:pPr>
      <w:r>
        <w:rPr>
          <w:b/>
          <w:sz w:val="22"/>
        </w:rPr>
        <w:t xml:space="preserve">Information Security Manager: </w:t>
      </w:r>
      <w:r>
        <w:rPr>
          <w:sz w:val="22"/>
        </w:rPr>
        <w:t>Maintains the Data Retention Schedule and audits compliance</w:t>
      </w:r>
    </w:p>
    <w:p>
      <w:pPr>
        <w:spacing w:before="80"/>
      </w:pPr>
      <w:r>
        <w:rPr>
          <w:b/>
          <w:sz w:val="22"/>
        </w:rPr>
        <w:t xml:space="preserve">Legal: </w:t>
      </w:r>
      <w:r>
        <w:rPr>
          <w:sz w:val="22"/>
        </w:rPr>
        <w:t>Issues legal holds and advises on regulatory retention requirements</w:t>
      </w:r>
    </w:p>
    <w:p>
      <w:pPr>
        <w:spacing w:before="240" w:after="80"/>
      </w:pPr>
      <w:r>
        <w:rPr>
          <w:b/>
          <w:sz w:val="24"/>
        </w:rPr>
        <w:t>3.6  Related Documents</w:t>
      </w:r>
    </w:p>
    <w:p>
      <w:pPr>
        <w:pStyle w:val="ListBullet"/>
        <w:ind w:left="360"/>
      </w:pPr>
      <w:r>
        <w:rPr>
          <w:sz w:val="22"/>
        </w:rPr>
        <w:t>Data Classification Policy</w:t>
      </w:r>
    </w:p>
    <w:p>
      <w:pPr>
        <w:pStyle w:val="ListBullet"/>
        <w:ind w:left="360"/>
      </w:pPr>
      <w:r>
        <w:rPr>
          <w:sz w:val="22"/>
        </w:rPr>
        <w:t>Data Deletion Procedure</w:t>
      </w:r>
    </w:p>
    <w:p>
      <w:pPr>
        <w:pStyle w:val="ListBullet"/>
        <w:ind w:left="360"/>
      </w:pPr>
      <w:r>
        <w:rPr>
          <w:sz w:val="22"/>
        </w:rPr>
        <w:t>Data Retention Schedule</w:t>
      </w:r>
    </w:p>
    <w:p>
      <w:pPr>
        <w:pStyle w:val="ListBullet"/>
        <w:ind w:left="360"/>
      </w:pPr>
      <w:r>
        <w:rPr>
          <w:sz w:val="22"/>
        </w:rPr>
        <w:t>Cloud Services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8.10 - Information deletion</w:t>
      </w:r>
    </w:p>
    <w:p>
      <w:pPr>
        <w:pStyle w:val="ListBullet"/>
        <w:ind w:left="360"/>
      </w:pPr>
      <w:r>
        <w:rPr>
          <w:sz w:val="22"/>
        </w:rPr>
        <w:t>5.13 - Labelling of information</w:t>
      </w:r>
    </w:p>
    <w:p>
      <w:pPr>
        <w:pStyle w:val="ListBullet"/>
        <w:ind w:left="360"/>
      </w:pPr>
      <w:r>
        <w:rPr>
          <w:sz w:val="22"/>
        </w:rPr>
        <w:t>5.33 - Protection of records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