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DATA PROTECTION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Data Protection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Data Protection Policy</w:t>
      </w:r>
    </w:p>
    <w:p>
      <w:pPr>
        <w:spacing w:before="240" w:after="80"/>
      </w:pPr>
      <w:r>
        <w:rPr>
          <w:b/>
          <w:sz w:val="24"/>
        </w:rPr>
        <w:t>3.1  Purpose</w:t>
      </w:r>
    </w:p>
    <w:p>
      <w:pPr>
        <w:spacing w:before="40" w:after="120" w:line="280" w:lineRule="exact"/>
      </w:pPr>
      <w:r>
        <w:rPr>
          <w:sz w:val="22"/>
        </w:rPr>
        <w:t>This policy establishes the principles and controls required to protect personal data and other sensitive information processed by the organisation. It ensures that personal data is handled lawfully, fairly, and transparently, and that the rights of data subjects are respected. The policy supports compliance with applicable data protection legislation including but not limited to GDPR, UK Data Protection Act, PIPEDA, and Quebec Law 25.</w:t>
      </w:r>
    </w:p>
    <w:p>
      <w:pPr>
        <w:spacing w:before="240" w:after="80"/>
      </w:pPr>
      <w:r>
        <w:rPr>
          <w:b/>
          <w:sz w:val="24"/>
        </w:rPr>
        <w:t>3.2  Scope</w:t>
      </w:r>
    </w:p>
    <w:p>
      <w:pPr>
        <w:spacing w:before="40" w:after="120" w:line="280" w:lineRule="exact"/>
      </w:pPr>
      <w:r>
        <w:rPr>
          <w:sz w:val="22"/>
        </w:rPr>
        <w:t>This policy applies to all personal data processed by the organisation, regardless of the format, the technology used, or the location of processing. It applies to all employees, contractors, and third parties acting as processors on behalf of the organisation.</w:t>
      </w:r>
    </w:p>
    <w:p>
      <w:pPr>
        <w:spacing w:before="240" w:after="80"/>
      </w:pPr>
      <w:r>
        <w:rPr>
          <w:b/>
          <w:sz w:val="24"/>
        </w:rPr>
        <w:t>3.3  Definitions</w:t>
      </w:r>
    </w:p>
    <w:p>
      <w:pPr>
        <w:spacing w:before="60" w:after="60"/>
      </w:pPr>
      <w:r>
        <w:rPr>
          <w:b/>
          <w:sz w:val="22"/>
        </w:rPr>
        <w:t xml:space="preserve">Personal Data: </w:t>
      </w:r>
      <w:r>
        <w:rPr>
          <w:sz w:val="22"/>
        </w:rPr>
        <w:t>Any information relating to an identified or identifiable natural person</w:t>
      </w:r>
    </w:p>
    <w:p>
      <w:pPr>
        <w:spacing w:before="60" w:after="60"/>
      </w:pPr>
      <w:r>
        <w:rPr>
          <w:b/>
          <w:sz w:val="22"/>
        </w:rPr>
        <w:t xml:space="preserve">Special Category Data: </w:t>
      </w:r>
      <w:r>
        <w:rPr>
          <w:sz w:val="22"/>
        </w:rPr>
        <w:t>Personal data revealing racial or ethnic origin, political opinions, religious beliefs, trade union membership, genetic data, biometric data, health data, or data concerning sex life or sexual orientation</w:t>
      </w:r>
    </w:p>
    <w:p>
      <w:pPr>
        <w:spacing w:before="60" w:after="60"/>
      </w:pPr>
      <w:r>
        <w:rPr>
          <w:b/>
          <w:sz w:val="22"/>
        </w:rPr>
        <w:t xml:space="preserve">Data Subject: </w:t>
      </w:r>
      <w:r>
        <w:rPr>
          <w:sz w:val="22"/>
        </w:rPr>
        <w:t>The identifiable natural person to whom personal data relates</w:t>
      </w:r>
    </w:p>
    <w:p>
      <w:pPr>
        <w:spacing w:before="60" w:after="60"/>
      </w:pPr>
      <w:r>
        <w:rPr>
          <w:b/>
          <w:sz w:val="22"/>
        </w:rPr>
        <w:t xml:space="preserve">Controller: </w:t>
      </w:r>
      <w:r>
        <w:rPr>
          <w:sz w:val="22"/>
        </w:rPr>
        <w:t>The natural or legal person who determines the purposes and means of processing personal data</w:t>
      </w:r>
    </w:p>
    <w:p>
      <w:pPr>
        <w:spacing w:before="60" w:after="60"/>
      </w:pPr>
      <w:r>
        <w:rPr>
          <w:b/>
          <w:sz w:val="22"/>
        </w:rPr>
        <w:t xml:space="preserve">Processor: </w:t>
      </w:r>
      <w:r>
        <w:rPr>
          <w:sz w:val="22"/>
        </w:rPr>
        <w:t>A natural or legal person who processes personal data on behalf of the controller</w:t>
      </w:r>
    </w:p>
    <w:p>
      <w:pPr>
        <w:spacing w:before="60" w:after="60"/>
      </w:pPr>
      <w:r>
        <w:rPr>
          <w:b/>
          <w:sz w:val="22"/>
        </w:rPr>
        <w:t xml:space="preserve">Data Protection Impact Assessment (DPIA): </w:t>
      </w:r>
      <w:r>
        <w:rPr>
          <w:sz w:val="22"/>
        </w:rPr>
        <w:t>A process designed to describe the processing, assess its necessity and proportionality, and help manage the risks to the rights and freedoms of data subjects</w:t>
      </w:r>
    </w:p>
    <w:p>
      <w:pPr>
        <w:spacing w:before="240" w:after="80"/>
      </w:pPr>
      <w:r>
        <w:rPr>
          <w:b/>
          <w:sz w:val="24"/>
        </w:rPr>
        <w:t>3.4  Policy Requirements</w:t>
      </w:r>
    </w:p>
    <w:p>
      <w:pPr>
        <w:spacing w:before="240" w:after="80"/>
      </w:pPr>
      <w:r>
        <w:rPr>
          <w:b/>
          <w:sz w:val="22"/>
        </w:rPr>
        <w:t>Lawful Basis and Purpose Limitation</w:t>
      </w:r>
    </w:p>
    <w:p>
      <w:pPr>
        <w:pStyle w:val="ListBullet"/>
        <w:ind w:left="360"/>
      </w:pPr>
      <w:r>
        <w:rPr>
          <w:sz w:val="22"/>
        </w:rPr>
        <w:t>All processing of personal data must have an identified and documented lawful basis recorded in the Record of Processing Activities</w:t>
      </w:r>
    </w:p>
    <w:p>
      <w:pPr>
        <w:pStyle w:val="ListBullet"/>
        <w:ind w:left="360"/>
      </w:pPr>
      <w:r>
        <w:rPr>
          <w:sz w:val="22"/>
        </w:rPr>
        <w:t>Personal data must be collected for specified, explicit, and legitimate purposes and not further processed in a manner incompatible with those purposes</w:t>
      </w:r>
    </w:p>
    <w:p>
      <w:pPr>
        <w:pStyle w:val="ListBullet"/>
        <w:ind w:left="360"/>
      </w:pPr>
      <w:r>
        <w:rPr>
          <w:sz w:val="22"/>
        </w:rPr>
        <w:t>Where consent is the lawful basis, consent must be freely given, specific, informed, and unambiguous, and a record of consent must be maintained</w:t>
      </w:r>
    </w:p>
    <w:p>
      <w:pPr>
        <w:spacing w:before="240" w:after="80"/>
      </w:pPr>
      <w:r>
        <w:rPr>
          <w:b/>
          <w:sz w:val="22"/>
        </w:rPr>
        <w:t>Data Minimisation and Accuracy</w:t>
      </w:r>
    </w:p>
    <w:p>
      <w:pPr>
        <w:pStyle w:val="ListBullet"/>
        <w:ind w:left="360"/>
      </w:pPr>
      <w:r>
        <w:rPr>
          <w:sz w:val="22"/>
        </w:rPr>
        <w:t>Personal data must be adequate, relevant, and limited to what is necessary for the purposes for which it is processed</w:t>
      </w:r>
    </w:p>
    <w:p>
      <w:pPr>
        <w:pStyle w:val="ListBullet"/>
        <w:ind w:left="360"/>
      </w:pPr>
      <w:r>
        <w:rPr>
          <w:sz w:val="22"/>
        </w:rPr>
        <w:t>Reasonable steps must be taken to ensure that personal data is accurate and kept up to date, with inaccurate data corrected or erased without delay</w:t>
      </w:r>
    </w:p>
    <w:p>
      <w:pPr>
        <w:spacing w:before="240" w:after="80"/>
      </w:pPr>
      <w:r>
        <w:rPr>
          <w:b/>
          <w:sz w:val="22"/>
        </w:rPr>
        <w:t>Storage Limitation and Retention</w:t>
      </w:r>
    </w:p>
    <w:p>
      <w:pPr>
        <w:pStyle w:val="ListBullet"/>
        <w:ind w:left="360"/>
      </w:pPr>
      <w:r>
        <w:rPr>
          <w:sz w:val="22"/>
        </w:rPr>
        <w:t>Personal data must not be kept in a form that permits identification of data subjects for longer than is necessary for the purposes for which it is processed</w:t>
      </w:r>
    </w:p>
    <w:p>
      <w:pPr>
        <w:pStyle w:val="ListBullet"/>
        <w:ind w:left="360"/>
      </w:pPr>
      <w:r>
        <w:rPr>
          <w:sz w:val="22"/>
        </w:rPr>
        <w:t>Retention periods must be defined in the Data Retention Schedule and reviewed periodically</w:t>
      </w:r>
    </w:p>
    <w:p>
      <w:pPr>
        <w:spacing w:before="240" w:after="80"/>
      </w:pPr>
      <w:r>
        <w:rPr>
          <w:b/>
          <w:sz w:val="22"/>
        </w:rPr>
        <w:t>Security of Processing</w:t>
      </w:r>
    </w:p>
    <w:p>
      <w:pPr>
        <w:pStyle w:val="ListBullet"/>
        <w:ind w:left="360"/>
      </w:pPr>
      <w:r>
        <w:rPr>
          <w:sz w:val="22"/>
        </w:rPr>
        <w:t>Appropriate technical and organisational measures must be implemented to ensure a level of security appropriate to the risk, including encryption, access control, and resilience</w:t>
      </w:r>
    </w:p>
    <w:p>
      <w:pPr>
        <w:pStyle w:val="ListBullet"/>
        <w:ind w:left="360"/>
      </w:pPr>
      <w:r>
        <w:rPr>
          <w:sz w:val="22"/>
        </w:rPr>
        <w:t>All personal data breaches must be reported to the Data Protection Officer within the timescales defined in the Incident Management Procedure</w:t>
      </w:r>
    </w:p>
    <w:p>
      <w:pPr>
        <w:spacing w:before="240" w:after="80"/>
      </w:pPr>
      <w:r>
        <w:rPr>
          <w:b/>
          <w:sz w:val="22"/>
        </w:rPr>
        <w:t>Data Subject Rights</w:t>
      </w:r>
    </w:p>
    <w:p>
      <w:pPr>
        <w:pStyle w:val="ListBullet"/>
        <w:ind w:left="360"/>
      </w:pPr>
      <w:r>
        <w:rPr>
          <w:sz w:val="22"/>
        </w:rPr>
        <w:t>Procedures must be in place to handle data subject requests including access, rectification, erasure, restriction, portability, and objection</w:t>
      </w:r>
    </w:p>
    <w:p>
      <w:pPr>
        <w:pStyle w:val="ListBullet"/>
        <w:ind w:left="360"/>
      </w:pPr>
      <w:r>
        <w:rPr>
          <w:sz w:val="22"/>
        </w:rPr>
        <w:t>Data subject requests must be responded to without undue delay and in any event within one calendar month of receipt</w:t>
      </w:r>
    </w:p>
    <w:p>
      <w:pPr>
        <w:spacing w:before="240" w:after="80"/>
      </w:pPr>
      <w:r>
        <w:rPr>
          <w:b/>
          <w:sz w:val="22"/>
        </w:rPr>
        <w:t>International Transfers</w:t>
      </w:r>
    </w:p>
    <w:p>
      <w:pPr>
        <w:pStyle w:val="ListBullet"/>
        <w:ind w:left="360"/>
      </w:pPr>
      <w:r>
        <w:rPr>
          <w:sz w:val="22"/>
        </w:rPr>
        <w:t>Transfers of personal data outside the country of origin must be protected by an appropriate transfer mechanism such as adequacy decisions, standard contractual clauses, or binding corporate rules</w:t>
      </w:r>
    </w:p>
    <w:p>
      <w:pPr>
        <w:pStyle w:val="ListBullet"/>
        <w:ind w:left="360"/>
      </w:pPr>
      <w:r>
        <w:rPr>
          <w:sz w:val="22"/>
        </w:rPr>
        <w:t>Transfer Impact Assessments must be conducted where required to evaluate risks in the destination jurisdiction</w:t>
      </w:r>
    </w:p>
    <w:p>
      <w:pPr>
        <w:spacing w:before="240" w:after="80"/>
      </w:pPr>
      <w:r>
        <w:rPr>
          <w:b/>
          <w:sz w:val="22"/>
        </w:rPr>
        <w:t>Data Protection Impact Assessments</w:t>
      </w:r>
    </w:p>
    <w:p>
      <w:pPr>
        <w:pStyle w:val="ListBullet"/>
        <w:ind w:left="360"/>
      </w:pPr>
      <w:r>
        <w:rPr>
          <w:sz w:val="22"/>
        </w:rPr>
        <w:t>DPIAs must be conducted for processing that is likely to result in a high risk to the rights and freedoms of data subjects</w:t>
      </w:r>
    </w:p>
    <w:p>
      <w:pPr>
        <w:pStyle w:val="ListBullet"/>
        <w:ind w:left="360"/>
      </w:pPr>
      <w:r>
        <w:rPr>
          <w:sz w:val="22"/>
        </w:rPr>
        <w:t>DPIA outcomes must be documented and reviewed by the Data Protection Officer</w:t>
      </w:r>
    </w:p>
    <w:p>
      <w:pPr>
        <w:spacing w:before="240" w:after="80"/>
      </w:pPr>
      <w:r>
        <w:rPr>
          <w:b/>
          <w:sz w:val="24"/>
        </w:rPr>
        <w:t>3.5  Roles and Responsibilities</w:t>
      </w:r>
    </w:p>
    <w:p>
      <w:pPr>
        <w:spacing w:before="80"/>
      </w:pPr>
      <w:r>
        <w:rPr>
          <w:b/>
          <w:sz w:val="22"/>
        </w:rPr>
        <w:t xml:space="preserve">Data Protection Officer: </w:t>
      </w:r>
      <w:r>
        <w:rPr>
          <w:sz w:val="22"/>
        </w:rPr>
        <w:t>Provides advice and oversight, monitors compliance, and acts as the contact point for data subjects and supervisory authorities</w:t>
      </w:r>
    </w:p>
    <w:p>
      <w:pPr>
        <w:spacing w:before="80"/>
      </w:pPr>
      <w:r>
        <w:rPr>
          <w:b/>
          <w:sz w:val="22"/>
        </w:rPr>
        <w:t xml:space="preserve">Data Owners: </w:t>
      </w:r>
      <w:r>
        <w:rPr>
          <w:sz w:val="22"/>
        </w:rPr>
        <w:t>Accountable for the personal data within their business area and for ensuring controls are implemented</w:t>
      </w:r>
    </w:p>
    <w:p>
      <w:pPr>
        <w:spacing w:before="80"/>
      </w:pPr>
      <w:r>
        <w:rPr>
          <w:b/>
          <w:sz w:val="22"/>
        </w:rPr>
        <w:t xml:space="preserve">All Employees: </w:t>
      </w:r>
      <w:r>
        <w:rPr>
          <w:sz w:val="22"/>
        </w:rPr>
        <w:t>Required to handle personal data in accordance with this policy and complete data protection training</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Record of Processing Activities</w:t>
      </w:r>
    </w:p>
    <w:p>
      <w:pPr>
        <w:pStyle w:val="ListBullet"/>
        <w:ind w:left="360"/>
      </w:pPr>
      <w:r>
        <w:rPr>
          <w:sz w:val="22"/>
        </w:rPr>
        <w:t>Data Retention Schedule</w:t>
      </w:r>
    </w:p>
    <w:p>
      <w:pPr>
        <w:pStyle w:val="ListBullet"/>
        <w:ind w:left="360"/>
      </w:pPr>
      <w:r>
        <w:rPr>
          <w:sz w:val="22"/>
        </w:rPr>
        <w:t>Privacy Notice</w:t>
      </w:r>
    </w:p>
    <w:p>
      <w:pPr>
        <w:pStyle w:val="ListBullet"/>
        <w:ind w:left="360"/>
      </w:pPr>
      <w:r>
        <w:rPr>
          <w:sz w:val="22"/>
        </w:rPr>
        <w:t>DPIA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5.34 - Privacy and protection of PII</w:t>
      </w:r>
    </w:p>
    <w:p>
      <w:pPr>
        <w:pStyle w:val="ListBullet"/>
        <w:ind w:left="360"/>
      </w:pPr>
      <w:r>
        <w:rPr>
          <w:sz w:val="22"/>
        </w:rPr>
        <w:t>5.14 - Information transfer</w:t>
      </w:r>
    </w:p>
    <w:p>
      <w:pPr>
        <w:pStyle w:val="ListBullet"/>
        <w:ind w:left="360"/>
      </w:pPr>
      <w:r>
        <w:rPr>
          <w:sz w:val="22"/>
        </w:rPr>
        <w:t>8.10 - Information deletion</w:t>
      </w:r>
    </w:p>
    <w:p>
      <w:pPr>
        <w:pStyle w:val="ListBullet"/>
        <w:ind w:left="360"/>
      </w:pPr>
      <w:r>
        <w:rPr>
          <w:sz w:val="22"/>
        </w:rPr>
        <w:t>8.11 - Data masking</w:t>
      </w:r>
    </w:p>
    <w:p>
      <w:pPr>
        <w:pStyle w:val="ListBullet"/>
        <w:ind w:left="360"/>
      </w:pPr>
      <w:r>
        <w:rPr>
          <w:sz w:val="22"/>
        </w:rPr>
        <w:t>8.12 - Data leakage prevention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