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DATA LOSS PREVENTION (DLP) POLICY</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Data Loss Prevention (DLP) Policy</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Definitions</w:t>
      </w:r>
      <w:r>
        <w:tab/>
        <w:t>5</w:t>
      </w:r>
    </w:p>
    <w:p>
      <w:pPr>
        <w:spacing w:before="60" w:after="60"/>
      </w:pPr>
      <w:r>
        <w:rPr>
          <w:sz w:val="22"/>
        </w:rPr>
        <w:t>3.4   Policy Requirements</w:t>
      </w:r>
      <w:r>
        <w:tab/>
        <w:t>6</w:t>
      </w:r>
    </w:p>
    <w:p>
      <w:pPr>
        <w:spacing w:before="60" w:after="60"/>
      </w:pPr>
      <w:r>
        <w:rPr>
          <w:sz w:val="22"/>
        </w:rPr>
        <w:t>3.5   Roles and Responsibilities</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Data Loss Prevention (DLP) Policy</w:t>
      </w:r>
    </w:p>
    <w:p>
      <w:pPr>
        <w:spacing w:before="240" w:after="80"/>
      </w:pPr>
      <w:r>
        <w:rPr>
          <w:b/>
          <w:sz w:val="24"/>
        </w:rPr>
        <w:t>3.1  Purpose</w:t>
      </w:r>
    </w:p>
    <w:p>
      <w:pPr>
        <w:spacing w:before="40" w:after="120" w:line="280" w:lineRule="exact"/>
      </w:pPr>
      <w:r>
        <w:rPr>
          <w:sz w:val="22"/>
        </w:rPr>
        <w:t>This policy establishes the controls and processes for preventing the unauthorised disclosure or transfer of sensitive organisational data through electronic channels. The policy ensures that DLP technology is deployed, configured, and operated to detect and respond to potential data leakage events.</w:t>
      </w:r>
    </w:p>
    <w:p>
      <w:pPr>
        <w:spacing w:before="240" w:after="80"/>
      </w:pPr>
      <w:r>
        <w:rPr>
          <w:b/>
          <w:sz w:val="24"/>
        </w:rPr>
        <w:t>3.2  Scope</w:t>
      </w:r>
    </w:p>
    <w:p>
      <w:pPr>
        <w:spacing w:before="40" w:after="120" w:line="280" w:lineRule="exact"/>
      </w:pPr>
      <w:r>
        <w:rPr>
          <w:sz w:val="22"/>
        </w:rPr>
        <w:t>This policy applies to all electronic communication and data transfer channels including email, web traffic, cloud storage, removable media, instant messaging, and endpoint devices. It applies to all employees, contractors, and third parties who handle organisational data.</w:t>
      </w:r>
    </w:p>
    <w:p>
      <w:pPr>
        <w:spacing w:before="240" w:after="80"/>
      </w:pPr>
      <w:r>
        <w:rPr>
          <w:b/>
          <w:sz w:val="24"/>
        </w:rPr>
        <w:t>3.3  Definitions</w:t>
      </w:r>
    </w:p>
    <w:p>
      <w:pPr>
        <w:spacing w:before="60" w:after="60"/>
      </w:pPr>
      <w:r>
        <w:rPr>
          <w:b/>
          <w:sz w:val="22"/>
        </w:rPr>
        <w:t xml:space="preserve">Data Loss Prevention (DLP): </w:t>
      </w:r>
      <w:r>
        <w:rPr>
          <w:sz w:val="22"/>
        </w:rPr>
        <w:t>A combination of technologies, processes, and policies designed to detect and prevent the unauthorised transmission or storage of sensitive data</w:t>
      </w:r>
    </w:p>
    <w:p>
      <w:pPr>
        <w:spacing w:before="60" w:after="60"/>
      </w:pPr>
      <w:r>
        <w:rPr>
          <w:b/>
          <w:sz w:val="22"/>
        </w:rPr>
        <w:t xml:space="preserve">Sensitive Data: </w:t>
      </w:r>
      <w:r>
        <w:rPr>
          <w:sz w:val="22"/>
        </w:rPr>
        <w:t>Information that, if disclosed without authorisation, could harm the organisation, its customers, employees, or partners</w:t>
      </w:r>
    </w:p>
    <w:p>
      <w:pPr>
        <w:spacing w:before="60" w:after="60"/>
      </w:pPr>
      <w:r>
        <w:rPr>
          <w:b/>
          <w:sz w:val="22"/>
        </w:rPr>
        <w:t xml:space="preserve">DLP Policy Rule: </w:t>
      </w:r>
      <w:r>
        <w:rPr>
          <w:sz w:val="22"/>
        </w:rPr>
        <w:t>A configured rule within DLP tooling that identifies a specific pattern or condition that should trigger a response</w:t>
      </w:r>
    </w:p>
    <w:p>
      <w:pPr>
        <w:spacing w:before="60" w:after="60"/>
      </w:pPr>
      <w:r>
        <w:rPr>
          <w:b/>
          <w:sz w:val="22"/>
        </w:rPr>
        <w:t xml:space="preserve">False Positive: </w:t>
      </w:r>
      <w:r>
        <w:rPr>
          <w:sz w:val="22"/>
        </w:rPr>
        <w:t>A DLP alert that does not represent an actual data leakage incident</w:t>
      </w:r>
    </w:p>
    <w:p>
      <w:pPr>
        <w:spacing w:before="240" w:after="80"/>
      </w:pPr>
      <w:r>
        <w:rPr>
          <w:b/>
          <w:sz w:val="24"/>
        </w:rPr>
        <w:t>3.4  Policy Requirements</w:t>
      </w:r>
    </w:p>
    <w:p>
      <w:pPr>
        <w:spacing w:before="240" w:after="80"/>
      </w:pPr>
      <w:r>
        <w:rPr>
          <w:b/>
          <w:sz w:val="22"/>
        </w:rPr>
        <w:t>DLP Coverage</w:t>
      </w:r>
    </w:p>
    <w:p>
      <w:pPr>
        <w:pStyle w:val="ListBullet"/>
        <w:ind w:left="360"/>
      </w:pPr>
      <w:r>
        <w:rPr>
          <w:sz w:val="22"/>
        </w:rPr>
        <w:t>DLP controls must be deployed across email, web, endpoint, and cloud channels at a minimum</w:t>
      </w:r>
    </w:p>
    <w:p>
      <w:pPr>
        <w:pStyle w:val="ListBullet"/>
        <w:ind w:left="360"/>
      </w:pPr>
      <w:r>
        <w:rPr>
          <w:sz w:val="22"/>
        </w:rPr>
        <w:t>DLP rules must reflect the data classification scheme and address regulated data types such as personal data, payment card data, and health information</w:t>
      </w:r>
    </w:p>
    <w:p>
      <w:pPr>
        <w:pStyle w:val="ListBullet"/>
        <w:ind w:left="360"/>
      </w:pPr>
      <w:r>
        <w:rPr>
          <w:sz w:val="22"/>
        </w:rPr>
        <w:t>Coverage must be reviewed when new data flows or systems are introduced</w:t>
      </w:r>
    </w:p>
    <w:p>
      <w:pPr>
        <w:spacing w:before="240" w:after="80"/>
      </w:pPr>
      <w:r>
        <w:rPr>
          <w:b/>
          <w:sz w:val="22"/>
        </w:rPr>
        <w:t>Rule Tuning and Maintenance</w:t>
      </w:r>
    </w:p>
    <w:p>
      <w:pPr>
        <w:pStyle w:val="ListBullet"/>
        <w:ind w:left="360"/>
      </w:pPr>
      <w:r>
        <w:rPr>
          <w:sz w:val="22"/>
        </w:rPr>
        <w:t>DLP rules must be tuned to balance detection effectiveness with operational impact</w:t>
      </w:r>
    </w:p>
    <w:p>
      <w:pPr>
        <w:pStyle w:val="ListBullet"/>
        <w:ind w:left="360"/>
      </w:pPr>
      <w:r>
        <w:rPr>
          <w:sz w:val="22"/>
        </w:rPr>
        <w:t>False positive rates must be tracked and addressed through regular tuning</w:t>
      </w:r>
    </w:p>
    <w:p>
      <w:pPr>
        <w:pStyle w:val="ListBullet"/>
        <w:ind w:left="360"/>
      </w:pPr>
      <w:r>
        <w:rPr>
          <w:sz w:val="22"/>
        </w:rPr>
        <w:t>New rules must be tested in monitoring mode before being placed into blocking mode</w:t>
      </w:r>
    </w:p>
    <w:p>
      <w:pPr>
        <w:spacing w:before="240" w:after="80"/>
      </w:pPr>
      <w:r>
        <w:rPr>
          <w:b/>
          <w:sz w:val="22"/>
        </w:rPr>
        <w:t>Alert Triage and Response</w:t>
      </w:r>
    </w:p>
    <w:p>
      <w:pPr>
        <w:pStyle w:val="ListBullet"/>
        <w:ind w:left="360"/>
      </w:pPr>
      <w:r>
        <w:rPr>
          <w:sz w:val="22"/>
        </w:rPr>
        <w:t>DLP alerts must be triaged in line with the DLP Monitoring Procedure</w:t>
      </w:r>
    </w:p>
    <w:p>
      <w:pPr>
        <w:pStyle w:val="ListBullet"/>
        <w:ind w:left="360"/>
      </w:pPr>
      <w:r>
        <w:rPr>
          <w:sz w:val="22"/>
        </w:rPr>
        <w:t>Confirmed incidents must be escalated through the Incident Management Procedure</w:t>
      </w:r>
    </w:p>
    <w:p>
      <w:pPr>
        <w:pStyle w:val="ListBullet"/>
        <w:ind w:left="360"/>
      </w:pPr>
      <w:r>
        <w:rPr>
          <w:sz w:val="22"/>
        </w:rPr>
        <w:t>Alert review records must be retained for audit purposes</w:t>
      </w:r>
    </w:p>
    <w:p>
      <w:pPr>
        <w:spacing w:before="240" w:after="80"/>
      </w:pPr>
      <w:r>
        <w:rPr>
          <w:b/>
          <w:sz w:val="22"/>
        </w:rPr>
        <w:t>User Communication</w:t>
      </w:r>
    </w:p>
    <w:p>
      <w:pPr>
        <w:pStyle w:val="ListBullet"/>
        <w:ind w:left="360"/>
      </w:pPr>
      <w:r>
        <w:rPr>
          <w:sz w:val="22"/>
        </w:rPr>
        <w:t>Users must be informed that DLP monitoring is in place through the Acceptable Use Policy and security awareness training</w:t>
      </w:r>
    </w:p>
    <w:p>
      <w:pPr>
        <w:pStyle w:val="ListBullet"/>
        <w:ind w:left="360"/>
      </w:pPr>
      <w:r>
        <w:rPr>
          <w:sz w:val="22"/>
        </w:rPr>
        <w:t>Where a DLP control blocks a legitimate business activity, users must have a documented method to request review</w:t>
      </w:r>
    </w:p>
    <w:p>
      <w:pPr>
        <w:spacing w:before="240" w:after="80"/>
      </w:pPr>
      <w:r>
        <w:rPr>
          <w:b/>
          <w:sz w:val="22"/>
        </w:rPr>
        <w:t>Encryption and Compensating Controls</w:t>
      </w:r>
    </w:p>
    <w:p>
      <w:pPr>
        <w:pStyle w:val="ListBullet"/>
        <w:ind w:left="360"/>
      </w:pPr>
      <w:r>
        <w:rPr>
          <w:sz w:val="22"/>
        </w:rPr>
        <w:t>Approved encryption tools must be available so that authorised data transfers can take place securely</w:t>
      </w:r>
    </w:p>
    <w:p>
      <w:pPr>
        <w:pStyle w:val="ListBullet"/>
        <w:ind w:left="360"/>
      </w:pPr>
      <w:r>
        <w:rPr>
          <w:sz w:val="22"/>
        </w:rPr>
        <w:t>Compensating controls such as access restrictions and watermarking should support DLP where direct prevention is not feasible</w:t>
      </w:r>
    </w:p>
    <w:p>
      <w:pPr>
        <w:spacing w:before="240" w:after="80"/>
      </w:pPr>
      <w:r>
        <w:rPr>
          <w:b/>
          <w:sz w:val="24"/>
        </w:rPr>
        <w:t>3.5  Roles and Responsibilities</w:t>
      </w:r>
    </w:p>
    <w:p>
      <w:pPr>
        <w:spacing w:before="80"/>
      </w:pPr>
      <w:r>
        <w:rPr>
          <w:b/>
          <w:sz w:val="22"/>
        </w:rPr>
        <w:t xml:space="preserve">Information Security Manager: </w:t>
      </w:r>
      <w:r>
        <w:rPr>
          <w:sz w:val="22"/>
        </w:rPr>
        <w:t>Owns the DLP capability, sets rules, and reviews effectiveness</w:t>
      </w:r>
    </w:p>
    <w:p>
      <w:pPr>
        <w:spacing w:before="80"/>
      </w:pPr>
      <w:r>
        <w:rPr>
          <w:b/>
          <w:sz w:val="22"/>
        </w:rPr>
        <w:t xml:space="preserve">Security Operations: </w:t>
      </w:r>
      <w:r>
        <w:rPr>
          <w:sz w:val="22"/>
        </w:rPr>
        <w:t>Triage DLP alerts and escalates incidents</w:t>
      </w:r>
    </w:p>
    <w:p>
      <w:pPr>
        <w:spacing w:before="80"/>
      </w:pPr>
      <w:r>
        <w:rPr>
          <w:b/>
          <w:sz w:val="22"/>
        </w:rPr>
        <w:t xml:space="preserve">Data Owners: </w:t>
      </w:r>
      <w:r>
        <w:rPr>
          <w:sz w:val="22"/>
        </w:rPr>
        <w:t>Define data sensitivity and approve DLP rules for their data</w:t>
      </w:r>
    </w:p>
    <w:p>
      <w:pPr>
        <w:spacing w:before="80"/>
      </w:pPr>
      <w:r>
        <w:rPr>
          <w:b/>
          <w:sz w:val="22"/>
        </w:rPr>
        <w:t xml:space="preserve">Users: </w:t>
      </w:r>
      <w:r>
        <w:rPr>
          <w:sz w:val="22"/>
        </w:rPr>
        <w:t>Comply with the policy and use approved transfer methods</w:t>
      </w:r>
    </w:p>
    <w:p>
      <w:pPr>
        <w:spacing w:before="240" w:after="80"/>
      </w:pPr>
      <w:r>
        <w:rPr>
          <w:b/>
          <w:sz w:val="24"/>
        </w:rPr>
        <w:t>3.6  Related Documents</w:t>
      </w:r>
    </w:p>
    <w:p>
      <w:pPr>
        <w:pStyle w:val="ListBullet"/>
        <w:ind w:left="360"/>
      </w:pPr>
      <w:r>
        <w:rPr>
          <w:sz w:val="22"/>
        </w:rPr>
        <w:t>Data Classification Policy</w:t>
      </w:r>
    </w:p>
    <w:p>
      <w:pPr>
        <w:pStyle w:val="ListBullet"/>
        <w:ind w:left="360"/>
      </w:pPr>
      <w:r>
        <w:rPr>
          <w:sz w:val="22"/>
        </w:rPr>
        <w:t>DLP Monitoring Procedure</w:t>
      </w:r>
    </w:p>
    <w:p>
      <w:pPr>
        <w:pStyle w:val="ListBullet"/>
        <w:ind w:left="360"/>
      </w:pPr>
      <w:r>
        <w:rPr>
          <w:sz w:val="22"/>
        </w:rPr>
        <w:t>Acceptable Use Policy</w:t>
      </w:r>
    </w:p>
    <w:p>
      <w:pPr>
        <w:pStyle w:val="ListBullet"/>
        <w:ind w:left="360"/>
      </w:pPr>
      <w:r>
        <w:rPr>
          <w:sz w:val="22"/>
        </w:rPr>
        <w:t>Incident Management Policy</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8.12 - Data leakage prevention</w:t>
      </w:r>
    </w:p>
    <w:p>
      <w:pPr>
        <w:pStyle w:val="ListBullet"/>
        <w:ind w:left="360"/>
      </w:pPr>
      <w:r>
        <w:rPr>
          <w:sz w:val="22"/>
        </w:rPr>
        <w:t>5.14 - Information transfer</w:t>
      </w:r>
    </w:p>
    <w:p>
      <w:pPr>
        <w:pStyle w:val="ListBullet"/>
        <w:ind w:left="360"/>
      </w:pPr>
      <w:r>
        <w:rPr>
          <w:sz w:val="22"/>
        </w:rPr>
        <w:t>8.16 - Monitoring activities</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