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CHANGE MANAGEMENT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Change Management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Change Management Policy</w:t>
      </w:r>
    </w:p>
    <w:p>
      <w:pPr>
        <w:spacing w:before="240" w:after="80"/>
      </w:pPr>
      <w:r>
        <w:rPr>
          <w:b/>
          <w:sz w:val="24"/>
        </w:rPr>
        <w:t>3.1  Purpose</w:t>
      </w:r>
    </w:p>
    <w:p>
      <w:pPr>
        <w:spacing w:before="40" w:after="120" w:line="280" w:lineRule="exact"/>
      </w:pPr>
      <w:r>
        <w:rPr>
          <w:sz w:val="22"/>
        </w:rPr>
        <w:t>This policy establishes the framework for managing changes to information systems, infrastructure, applications, and services in a controlled and auditable manner. The policy ensures that changes are assessed for information security risk, authorised by appropriate management, tested before implementation, and that rollback procedures are available if required. The policy aims to prevent unauthorised changes, minimise service disruption, and maintain the integrity of information assets.</w:t>
      </w:r>
    </w:p>
    <w:p>
      <w:pPr>
        <w:spacing w:before="240" w:after="80"/>
      </w:pPr>
      <w:r>
        <w:rPr>
          <w:b/>
          <w:sz w:val="24"/>
        </w:rPr>
        <w:t>3.2  Scope</w:t>
      </w:r>
    </w:p>
    <w:p>
      <w:pPr>
        <w:spacing w:before="40" w:after="120" w:line="280" w:lineRule="exact"/>
      </w:pPr>
      <w:r>
        <w:rPr>
          <w:sz w:val="22"/>
        </w:rPr>
        <w:t>This policy applies to all changes to production systems, networks, applications, databases, and services managed by or on behalf of the organisation. It covers planned changes, emergency changes, and standard pre-approved changes. It applies to all personnel who initiate, authorise, implement, or review changes, including internal staff, contractors, and third-party service providers.</w:t>
      </w:r>
    </w:p>
    <w:p>
      <w:pPr>
        <w:spacing w:before="240" w:after="80"/>
      </w:pPr>
      <w:r>
        <w:rPr>
          <w:b/>
          <w:sz w:val="24"/>
        </w:rPr>
        <w:t>3.3  Definitions</w:t>
      </w:r>
    </w:p>
    <w:p>
      <w:pPr>
        <w:spacing w:before="60" w:after="60"/>
      </w:pPr>
      <w:r>
        <w:rPr>
          <w:b/>
          <w:sz w:val="22"/>
        </w:rPr>
        <w:t xml:space="preserve">Change: </w:t>
      </w:r>
      <w:r>
        <w:rPr>
          <w:sz w:val="22"/>
        </w:rPr>
        <w:t>Any modification to an information system, infrastructure component, application, configuration, or service that has the potential to affect the security, availability, or integrity of information assets</w:t>
      </w:r>
    </w:p>
    <w:p>
      <w:pPr>
        <w:spacing w:before="60" w:after="60"/>
      </w:pPr>
      <w:r>
        <w:rPr>
          <w:b/>
          <w:sz w:val="22"/>
        </w:rPr>
        <w:t xml:space="preserve">Change Advisory Board (CAB): </w:t>
      </w:r>
      <w:r>
        <w:rPr>
          <w:sz w:val="22"/>
        </w:rPr>
        <w:t>A body responsible for reviewing, prioritising, and authorising significant changes to production systems</w:t>
      </w:r>
    </w:p>
    <w:p>
      <w:pPr>
        <w:spacing w:before="60" w:after="60"/>
      </w:pPr>
      <w:r>
        <w:rPr>
          <w:b/>
          <w:sz w:val="22"/>
        </w:rPr>
        <w:t xml:space="preserve">Emergency Change: </w:t>
      </w:r>
      <w:r>
        <w:rPr>
          <w:sz w:val="22"/>
        </w:rPr>
        <w:t>A change required to resolve a critical service-affecting incident or security vulnerability that cannot wait for the standard change process</w:t>
      </w:r>
    </w:p>
    <w:p>
      <w:pPr>
        <w:spacing w:before="60" w:after="60"/>
      </w:pPr>
      <w:r>
        <w:rPr>
          <w:b/>
          <w:sz w:val="22"/>
        </w:rPr>
        <w:t xml:space="preserve">Standard Change: </w:t>
      </w:r>
      <w:r>
        <w:rPr>
          <w:sz w:val="22"/>
        </w:rPr>
        <w:t>A pre-approved, low-risk, frequently occurring change that follows a defined procedure and does not require individual CAB approval</w:t>
      </w:r>
    </w:p>
    <w:p>
      <w:pPr>
        <w:spacing w:before="60" w:after="60"/>
      </w:pPr>
      <w:r>
        <w:rPr>
          <w:b/>
          <w:sz w:val="22"/>
        </w:rPr>
        <w:t xml:space="preserve">Rollback Plan: </w:t>
      </w:r>
      <w:r>
        <w:rPr>
          <w:sz w:val="22"/>
        </w:rPr>
        <w:t>A documented procedure for reversing a change and restoring the system to its previous state in the event of a failed or undesirable change</w:t>
      </w:r>
    </w:p>
    <w:p>
      <w:pPr>
        <w:spacing w:before="60" w:after="60"/>
      </w:pPr>
      <w:r>
        <w:rPr>
          <w:b/>
          <w:sz w:val="22"/>
        </w:rPr>
        <w:t xml:space="preserve">Change Freeze: </w:t>
      </w:r>
      <w:r>
        <w:rPr>
          <w:sz w:val="22"/>
        </w:rPr>
        <w:t>A period during which only emergency changes may be implemented, typically aligned with critical business periods</w:t>
      </w:r>
    </w:p>
    <w:p>
      <w:pPr>
        <w:spacing w:before="240" w:after="80"/>
      </w:pPr>
      <w:r>
        <w:rPr>
          <w:b/>
          <w:sz w:val="24"/>
        </w:rPr>
        <w:t>3.4  Policy Requirements</w:t>
      </w:r>
    </w:p>
    <w:p>
      <w:pPr>
        <w:spacing w:before="240" w:after="80"/>
      </w:pPr>
      <w:r>
        <w:rPr>
          <w:b/>
          <w:sz w:val="22"/>
        </w:rPr>
        <w:t>Change Request and Classification</w:t>
      </w:r>
    </w:p>
    <w:p>
      <w:pPr>
        <w:pStyle w:val="ListBullet"/>
        <w:ind w:left="360"/>
      </w:pPr>
      <w:r>
        <w:rPr>
          <w:sz w:val="22"/>
        </w:rPr>
        <w:t>All changes to production systems must be raised as a formal change request using the approved change management system</w:t>
      </w:r>
    </w:p>
    <w:p>
      <w:pPr>
        <w:pStyle w:val="ListBullet"/>
        <w:ind w:left="360"/>
      </w:pPr>
      <w:r>
        <w:rPr>
          <w:sz w:val="22"/>
        </w:rPr>
        <w:t>Change requests must include a description of the change, business justification, risk assessment, implementation plan, test plan, and rollback plan</w:t>
      </w:r>
    </w:p>
    <w:p>
      <w:pPr>
        <w:pStyle w:val="ListBullet"/>
        <w:ind w:left="360"/>
      </w:pPr>
      <w:r>
        <w:rPr>
          <w:sz w:val="22"/>
        </w:rPr>
        <w:t>Changes must be classified as standard, normal, or emergency prior to scheduling</w:t>
      </w:r>
    </w:p>
    <w:p>
      <w:pPr>
        <w:pStyle w:val="ListBullet"/>
        <w:ind w:left="360"/>
      </w:pPr>
      <w:r>
        <w:rPr>
          <w:sz w:val="22"/>
        </w:rPr>
        <w:t>Normal changes must be reviewed and approved by the Change Advisory Board before implementation</w:t>
      </w:r>
    </w:p>
    <w:p>
      <w:pPr>
        <w:pStyle w:val="ListBullet"/>
        <w:ind w:left="360"/>
      </w:pPr>
      <w:r>
        <w:rPr>
          <w:sz w:val="22"/>
        </w:rPr>
        <w:t>Emergency changes may be implemented with reduced approval requirements but must be retrospectively reviewed within 48 hours</w:t>
      </w:r>
    </w:p>
    <w:p>
      <w:pPr>
        <w:spacing w:before="240" w:after="80"/>
      </w:pPr>
      <w:r>
        <w:rPr>
          <w:b/>
          <w:sz w:val="22"/>
        </w:rPr>
        <w:t>Risk Assessment</w:t>
      </w:r>
    </w:p>
    <w:p>
      <w:pPr>
        <w:pStyle w:val="ListBullet"/>
        <w:ind w:left="360"/>
      </w:pPr>
      <w:r>
        <w:rPr>
          <w:sz w:val="22"/>
        </w:rPr>
        <w:t>Every change must be assessed for information security risk before approval</w:t>
      </w:r>
    </w:p>
    <w:p>
      <w:pPr>
        <w:pStyle w:val="ListBullet"/>
        <w:ind w:left="360"/>
      </w:pPr>
      <w:r>
        <w:rPr>
          <w:sz w:val="22"/>
        </w:rPr>
        <w:t>The risk assessment must consider potential impact on confidentiality, integrity, and availability</w:t>
      </w:r>
    </w:p>
    <w:p>
      <w:pPr>
        <w:pStyle w:val="ListBullet"/>
        <w:ind w:left="360"/>
      </w:pPr>
      <w:r>
        <w:rPr>
          <w:sz w:val="22"/>
        </w:rPr>
        <w:t>Changes with high or critical risk ratings require approval from the Information Security Manager and senior management</w:t>
      </w:r>
    </w:p>
    <w:p>
      <w:pPr>
        <w:pStyle w:val="ListBullet"/>
        <w:ind w:left="360"/>
      </w:pPr>
      <w:r>
        <w:rPr>
          <w:sz w:val="22"/>
        </w:rPr>
        <w:t>Third-party changes that affect the organisation's systems must be subject to the same change management controls</w:t>
      </w:r>
    </w:p>
    <w:p>
      <w:pPr>
        <w:spacing w:before="240" w:after="80"/>
      </w:pPr>
      <w:r>
        <w:rPr>
          <w:b/>
          <w:sz w:val="22"/>
        </w:rPr>
        <w:t>Testing and Implementation</w:t>
      </w:r>
    </w:p>
    <w:p>
      <w:pPr>
        <w:pStyle w:val="ListBullet"/>
        <w:ind w:left="360"/>
      </w:pPr>
      <w:r>
        <w:rPr>
          <w:sz w:val="22"/>
        </w:rPr>
        <w:t>All normal changes must be tested in a non-production environment before deployment to production</w:t>
      </w:r>
    </w:p>
    <w:p>
      <w:pPr>
        <w:pStyle w:val="ListBullet"/>
        <w:ind w:left="360"/>
      </w:pPr>
      <w:r>
        <w:rPr>
          <w:sz w:val="22"/>
        </w:rPr>
        <w:t>Test results must be documented and reviewed as part of the change approval process</w:t>
      </w:r>
    </w:p>
    <w:p>
      <w:pPr>
        <w:pStyle w:val="ListBullet"/>
        <w:ind w:left="360"/>
      </w:pPr>
      <w:r>
        <w:rPr>
          <w:sz w:val="22"/>
        </w:rPr>
        <w:t>Implementation must follow the approved implementation plan and be carried out within the approved change window</w:t>
      </w:r>
    </w:p>
    <w:p>
      <w:pPr>
        <w:pStyle w:val="ListBullet"/>
        <w:ind w:left="360"/>
      </w:pPr>
      <w:r>
        <w:rPr>
          <w:sz w:val="22"/>
        </w:rPr>
        <w:t>Implementation must be monitored and verified to confirm the change has been applied correctly</w:t>
      </w:r>
    </w:p>
    <w:p>
      <w:pPr>
        <w:pStyle w:val="ListBullet"/>
        <w:ind w:left="360"/>
      </w:pPr>
      <w:r>
        <w:rPr>
          <w:sz w:val="22"/>
        </w:rPr>
        <w:t>Post-implementation review must be completed within five business days of implementation</w:t>
      </w:r>
    </w:p>
    <w:p>
      <w:pPr>
        <w:spacing w:before="240" w:after="80"/>
      </w:pPr>
      <w:r>
        <w:rPr>
          <w:b/>
          <w:sz w:val="22"/>
        </w:rPr>
        <w:t>Change Freeze and Scheduling</w:t>
      </w:r>
    </w:p>
    <w:p>
      <w:pPr>
        <w:pStyle w:val="ListBullet"/>
        <w:ind w:left="360"/>
      </w:pPr>
      <w:r>
        <w:rPr>
          <w:sz w:val="22"/>
        </w:rPr>
        <w:t>Change freeze periods will be communicated in advance by the IT department</w:t>
      </w:r>
    </w:p>
    <w:p>
      <w:pPr>
        <w:pStyle w:val="ListBullet"/>
        <w:ind w:left="360"/>
      </w:pPr>
      <w:r>
        <w:rPr>
          <w:sz w:val="22"/>
        </w:rPr>
        <w:t>During change freeze periods, only emergency changes approved by the IT Director or CISO may proceed</w:t>
      </w:r>
    </w:p>
    <w:p>
      <w:pPr>
        <w:pStyle w:val="ListBullet"/>
        <w:ind w:left="360"/>
      </w:pPr>
      <w:r>
        <w:rPr>
          <w:sz w:val="22"/>
        </w:rPr>
        <w:t>Planned changes should avoid high-risk periods such as financial year-end, peak trading periods, or major system upgrades</w:t>
      </w:r>
    </w:p>
    <w:p>
      <w:pPr>
        <w:spacing w:before="240" w:after="80"/>
      </w:pPr>
      <w:r>
        <w:rPr>
          <w:b/>
          <w:sz w:val="24"/>
        </w:rPr>
        <w:t>3.5  Roles and Responsibilities</w:t>
      </w:r>
    </w:p>
    <w:p>
      <w:pPr>
        <w:spacing w:before="80"/>
      </w:pPr>
      <w:r>
        <w:rPr>
          <w:b/>
          <w:sz w:val="22"/>
        </w:rPr>
        <w:t xml:space="preserve">Change Requester: </w:t>
      </w:r>
      <w:r>
        <w:rPr>
          <w:sz w:val="22"/>
        </w:rPr>
        <w:t>Any authorised individual who initiates a change request, responsible for providing complete and accurate information</w:t>
      </w:r>
    </w:p>
    <w:p>
      <w:pPr>
        <w:spacing w:before="80"/>
      </w:pPr>
      <w:r>
        <w:rPr>
          <w:b/>
          <w:sz w:val="22"/>
        </w:rPr>
        <w:t xml:space="preserve">Change Advisory Board: </w:t>
      </w:r>
      <w:r>
        <w:rPr>
          <w:sz w:val="22"/>
        </w:rPr>
        <w:t>Reviews and approves normal changes, assesses risk, and provides governance oversight of the change process</w:t>
      </w:r>
    </w:p>
    <w:p>
      <w:pPr>
        <w:spacing w:before="80"/>
      </w:pPr>
      <w:r>
        <w:rPr>
          <w:b/>
          <w:sz w:val="22"/>
        </w:rPr>
        <w:t xml:space="preserve">IT Operations: </w:t>
      </w:r>
      <w:r>
        <w:rPr>
          <w:sz w:val="22"/>
        </w:rPr>
        <w:t>Implements approved changes, monitors implementations, and confirms successful completion</w:t>
      </w:r>
    </w:p>
    <w:p>
      <w:pPr>
        <w:spacing w:before="80"/>
      </w:pPr>
      <w:r>
        <w:rPr>
          <w:b/>
          <w:sz w:val="22"/>
        </w:rPr>
        <w:t xml:space="preserve">Information Security Manager: </w:t>
      </w:r>
      <w:r>
        <w:rPr>
          <w:sz w:val="22"/>
        </w:rPr>
        <w:t>Reviews high-risk changes for security implications and provides security sign-off where required</w:t>
      </w:r>
    </w:p>
    <w:p>
      <w:pPr>
        <w:spacing w:before="80"/>
      </w:pPr>
      <w:r>
        <w:rPr>
          <w:b/>
          <w:sz w:val="22"/>
        </w:rPr>
        <w:t xml:space="preserve">Service Owner: </w:t>
      </w:r>
      <w:r>
        <w:rPr>
          <w:sz w:val="22"/>
        </w:rPr>
        <w:t>Accountable for the impact of changes on services within their area of ownership</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IS-04 Risk Management Policy</w:t>
      </w:r>
    </w:p>
    <w:p>
      <w:pPr>
        <w:pStyle w:val="ListBullet"/>
        <w:ind w:left="360"/>
      </w:pPr>
      <w:r>
        <w:rPr>
          <w:sz w:val="22"/>
        </w:rPr>
        <w:t>IS-19 Secure Development Policy</w:t>
      </w:r>
    </w:p>
    <w:p>
      <w:pPr>
        <w:pStyle w:val="ListBullet"/>
        <w:ind w:left="360"/>
      </w:pPr>
      <w:r>
        <w:rPr>
          <w:sz w:val="22"/>
        </w:rPr>
        <w:t>IS-25 Patch Management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5.8 - Information security in project management</w:t>
      </w:r>
    </w:p>
    <w:p>
      <w:pPr>
        <w:pStyle w:val="ListBullet"/>
        <w:ind w:left="360"/>
      </w:pPr>
      <w:r>
        <w:rPr>
          <w:sz w:val="22"/>
        </w:rPr>
        <w:t>8.31 - Separation of development, test and production environments</w:t>
      </w:r>
    </w:p>
    <w:p>
      <w:pPr>
        <w:pStyle w:val="ListBullet"/>
        <w:ind w:left="360"/>
      </w:pPr>
      <w:r>
        <w:rPr>
          <w:sz w:val="22"/>
        </w:rPr>
        <w:t>8.32 - Change management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