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SECURITY COMMITTEE CHARTER</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Security Committee Charter</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Security Committee Charter</w:t>
      </w:r>
    </w:p>
    <w:p>
      <w:pPr>
        <w:spacing w:before="240" w:after="80"/>
      </w:pPr>
      <w:r>
        <w:rPr>
          <w:b/>
          <w:sz w:val="24"/>
        </w:rPr>
        <w:t>3.1  Purpose</w:t>
      </w:r>
    </w:p>
    <w:p>
      <w:pPr>
        <w:spacing w:before="40" w:after="120" w:line="280" w:lineRule="exact"/>
      </w:pPr>
      <w:r>
        <w:rPr>
          <w:sz w:val="22"/>
        </w:rPr>
        <w:t>This charter defines the mandate, membership, decision rights, and operating cadence of the Information Security Committee. The committee provides governance oversight of the ISMS and ensures that information security receives appropriate executive attention and direction.</w:t>
      </w:r>
    </w:p>
    <w:p>
      <w:pPr>
        <w:spacing w:before="240" w:after="80"/>
      </w:pPr>
      <w:r>
        <w:rPr>
          <w:b/>
          <w:sz w:val="24"/>
        </w:rPr>
        <w:t>3.2  Scope</w:t>
      </w:r>
    </w:p>
    <w:p>
      <w:pPr>
        <w:spacing w:before="40" w:after="120" w:line="280" w:lineRule="exact"/>
      </w:pPr>
      <w:r>
        <w:rPr>
          <w:sz w:val="22"/>
        </w:rPr>
        <w:t>This charter applies to the Information Security Committee and to all matters within its remit. Other governance bodies such as the Audit Committee and Risk Committee retain their independent responsibilities.</w:t>
      </w:r>
    </w:p>
    <w:p>
      <w:pPr>
        <w:spacing w:before="240" w:after="80"/>
      </w:pPr>
      <w:r>
        <w:rPr>
          <w:b/>
          <w:sz w:val="24"/>
        </w:rPr>
        <w:t>3.3  Definitions</w:t>
      </w:r>
    </w:p>
    <w:p>
      <w:pPr>
        <w:spacing w:before="60" w:after="60"/>
      </w:pPr>
      <w:r>
        <w:rPr>
          <w:b/>
          <w:sz w:val="22"/>
        </w:rPr>
        <w:t xml:space="preserve">Committee: </w:t>
      </w:r>
      <w:r>
        <w:rPr>
          <w:sz w:val="22"/>
        </w:rPr>
        <w:t>The Information Security Committee established by this charter</w:t>
      </w:r>
    </w:p>
    <w:p>
      <w:pPr>
        <w:spacing w:before="60" w:after="60"/>
      </w:pPr>
      <w:r>
        <w:rPr>
          <w:b/>
          <w:sz w:val="22"/>
        </w:rPr>
        <w:t xml:space="preserve">Member: </w:t>
      </w:r>
      <w:r>
        <w:rPr>
          <w:sz w:val="22"/>
        </w:rPr>
        <w:t>An individual formally appointed to the committee</w:t>
      </w:r>
    </w:p>
    <w:p>
      <w:pPr>
        <w:spacing w:before="60" w:after="60"/>
      </w:pPr>
      <w:r>
        <w:rPr>
          <w:b/>
          <w:sz w:val="22"/>
        </w:rPr>
        <w:t xml:space="preserve">Quorum: </w:t>
      </w:r>
      <w:r>
        <w:rPr>
          <w:sz w:val="22"/>
        </w:rPr>
        <w:t>The minimum number of members required for the committee to take valid decisions</w:t>
      </w:r>
    </w:p>
    <w:p>
      <w:pPr>
        <w:spacing w:before="60" w:after="60"/>
      </w:pPr>
      <w:r>
        <w:rPr>
          <w:b/>
          <w:sz w:val="22"/>
        </w:rPr>
        <w:t xml:space="preserve">Standing Item: </w:t>
      </w:r>
      <w:r>
        <w:rPr>
          <w:sz w:val="22"/>
        </w:rPr>
        <w:t>An agenda item that is reviewed at every meeting</w:t>
      </w:r>
    </w:p>
    <w:p>
      <w:pPr>
        <w:spacing w:before="240" w:after="80"/>
      </w:pPr>
      <w:r>
        <w:rPr>
          <w:b/>
          <w:sz w:val="24"/>
        </w:rPr>
        <w:t>3.4  Policy Requirements</w:t>
      </w:r>
    </w:p>
    <w:p>
      <w:pPr>
        <w:spacing w:before="240" w:after="80"/>
      </w:pPr>
      <w:r>
        <w:rPr>
          <w:b/>
          <w:sz w:val="22"/>
        </w:rPr>
        <w:t>Mandate</w:t>
      </w:r>
    </w:p>
    <w:p>
      <w:pPr>
        <w:pStyle w:val="ListBullet"/>
        <w:ind w:left="360"/>
      </w:pPr>
      <w:r>
        <w:rPr>
          <w:sz w:val="22"/>
        </w:rPr>
        <w:t>Provide governance oversight of the information security management system</w:t>
      </w:r>
    </w:p>
    <w:p>
      <w:pPr>
        <w:pStyle w:val="ListBullet"/>
        <w:ind w:left="360"/>
      </w:pPr>
      <w:r>
        <w:rPr>
          <w:sz w:val="22"/>
        </w:rPr>
        <w:t>Approve information security policy framework and risk appetite</w:t>
      </w:r>
    </w:p>
    <w:p>
      <w:pPr>
        <w:pStyle w:val="ListBullet"/>
        <w:ind w:left="360"/>
      </w:pPr>
      <w:r>
        <w:rPr>
          <w:sz w:val="22"/>
        </w:rPr>
        <w:t>Review the security risk register and major risk treatment decisions</w:t>
      </w:r>
    </w:p>
    <w:p>
      <w:pPr>
        <w:pStyle w:val="ListBullet"/>
        <w:ind w:left="360"/>
      </w:pPr>
      <w:r>
        <w:rPr>
          <w:sz w:val="22"/>
        </w:rPr>
        <w:t>Receive incident reports and oversee remediation of major incidents</w:t>
      </w:r>
    </w:p>
    <w:p>
      <w:pPr>
        <w:pStyle w:val="ListBullet"/>
        <w:ind w:left="360"/>
      </w:pPr>
      <w:r>
        <w:rPr>
          <w:sz w:val="22"/>
        </w:rPr>
        <w:t>Approve the annual security plan and review progress</w:t>
      </w:r>
    </w:p>
    <w:p>
      <w:pPr>
        <w:pStyle w:val="ListBullet"/>
        <w:ind w:left="360"/>
      </w:pPr>
      <w:r>
        <w:rPr>
          <w:sz w:val="22"/>
        </w:rPr>
        <w:t>Sponsor security improvement initiatives</w:t>
      </w:r>
    </w:p>
    <w:p>
      <w:pPr>
        <w:spacing w:before="240" w:after="80"/>
      </w:pPr>
      <w:r>
        <w:rPr>
          <w:b/>
          <w:sz w:val="22"/>
        </w:rPr>
        <w:t>Membership</w:t>
      </w:r>
    </w:p>
    <w:p>
      <w:pPr>
        <w:pStyle w:val="ListBullet"/>
        <w:ind w:left="360"/>
      </w:pPr>
      <w:r>
        <w:rPr>
          <w:sz w:val="22"/>
        </w:rPr>
        <w:t>Chair: Chief Executive Officer or designated executive sponsor</w:t>
      </w:r>
    </w:p>
    <w:p>
      <w:pPr>
        <w:pStyle w:val="ListBullet"/>
        <w:ind w:left="360"/>
      </w:pPr>
      <w:r>
        <w:rPr>
          <w:sz w:val="22"/>
        </w:rPr>
        <w:t>Permanent members: CISO, IT Director, Chief Operating Officer, Chief Financial Officer, Data Protection Officer, General Counsel, Head of Internal Audit (observer)</w:t>
      </w:r>
    </w:p>
    <w:p>
      <w:pPr>
        <w:pStyle w:val="ListBullet"/>
        <w:ind w:left="360"/>
      </w:pPr>
      <w:r>
        <w:rPr>
          <w:sz w:val="22"/>
        </w:rPr>
        <w:t>Standing invitees: Information Security Manager, Risk Officer, business unit leaders as required by agenda</w:t>
      </w:r>
    </w:p>
    <w:p>
      <w:pPr>
        <w:pStyle w:val="ListBullet"/>
        <w:ind w:left="360"/>
      </w:pPr>
      <w:r>
        <w:rPr>
          <w:sz w:val="22"/>
        </w:rPr>
        <w:t>Members serve for a defined term and may be reappointed</w:t>
      </w:r>
    </w:p>
    <w:p>
      <w:pPr>
        <w:spacing w:before="240" w:after="80"/>
      </w:pPr>
      <w:r>
        <w:rPr>
          <w:b/>
          <w:sz w:val="22"/>
        </w:rPr>
        <w:t>Operating Cadence</w:t>
      </w:r>
    </w:p>
    <w:p>
      <w:pPr>
        <w:pStyle w:val="ListBullet"/>
        <w:ind w:left="360"/>
      </w:pPr>
      <w:r>
        <w:rPr>
          <w:sz w:val="22"/>
        </w:rPr>
        <w:t>The committee meets at least quarterly</w:t>
      </w:r>
    </w:p>
    <w:p>
      <w:pPr>
        <w:pStyle w:val="ListBullet"/>
        <w:ind w:left="360"/>
      </w:pPr>
      <w:r>
        <w:rPr>
          <w:sz w:val="22"/>
        </w:rPr>
        <w:t>Additional meetings are convened to address material incidents or decisions</w:t>
      </w:r>
    </w:p>
    <w:p>
      <w:pPr>
        <w:pStyle w:val="ListBullet"/>
        <w:ind w:left="360"/>
      </w:pPr>
      <w:r>
        <w:rPr>
          <w:sz w:val="22"/>
        </w:rPr>
        <w:t>Agendas and supporting papers are circulated at least three working days in advance</w:t>
      </w:r>
    </w:p>
    <w:p>
      <w:pPr>
        <w:pStyle w:val="ListBullet"/>
        <w:ind w:left="360"/>
      </w:pPr>
      <w:r>
        <w:rPr>
          <w:sz w:val="22"/>
        </w:rPr>
        <w:t>Minutes are prepared, approved, and retained as records of decisions</w:t>
      </w:r>
    </w:p>
    <w:p>
      <w:pPr>
        <w:spacing w:before="240" w:after="80"/>
      </w:pPr>
      <w:r>
        <w:rPr>
          <w:b/>
          <w:sz w:val="22"/>
        </w:rPr>
        <w:t>Decision Rights</w:t>
      </w:r>
    </w:p>
    <w:p>
      <w:pPr>
        <w:pStyle w:val="ListBullet"/>
        <w:ind w:left="360"/>
      </w:pPr>
      <w:r>
        <w:rPr>
          <w:sz w:val="22"/>
        </w:rPr>
        <w:t>Approve information security policy and material policy changes</w:t>
      </w:r>
    </w:p>
    <w:p>
      <w:pPr>
        <w:pStyle w:val="ListBullet"/>
        <w:ind w:left="360"/>
      </w:pPr>
      <w:r>
        <w:rPr>
          <w:sz w:val="22"/>
        </w:rPr>
        <w:t>Approve risk acceptance for high or critical residual risks</w:t>
      </w:r>
    </w:p>
    <w:p>
      <w:pPr>
        <w:pStyle w:val="ListBullet"/>
        <w:ind w:left="360"/>
      </w:pPr>
      <w:r>
        <w:rPr>
          <w:sz w:val="22"/>
        </w:rPr>
        <w:t>Approve material changes to the ISMS scope or applicability</w:t>
      </w:r>
    </w:p>
    <w:p>
      <w:pPr>
        <w:pStyle w:val="ListBullet"/>
        <w:ind w:left="360"/>
      </w:pPr>
      <w:r>
        <w:rPr>
          <w:sz w:val="22"/>
        </w:rPr>
        <w:t>Authorise material expenditure on security capability where above delegated thresholds</w:t>
      </w:r>
    </w:p>
    <w:p>
      <w:pPr>
        <w:spacing w:before="240" w:after="80"/>
      </w:pPr>
      <w:r>
        <w:rPr>
          <w:b/>
          <w:sz w:val="22"/>
        </w:rPr>
        <w:t>Reporting</w:t>
      </w:r>
    </w:p>
    <w:p>
      <w:pPr>
        <w:pStyle w:val="ListBullet"/>
        <w:ind w:left="360"/>
      </w:pPr>
      <w:r>
        <w:rPr>
          <w:sz w:val="22"/>
        </w:rPr>
        <w:t>The committee reports to the Board through the executive sponsor</w:t>
      </w:r>
    </w:p>
    <w:p>
      <w:pPr>
        <w:pStyle w:val="ListBullet"/>
        <w:ind w:left="360"/>
      </w:pPr>
      <w:r>
        <w:rPr>
          <w:sz w:val="22"/>
        </w:rPr>
        <w:t>Standing reports include: ISMS performance, risk register summary, incident summary, audit findings status, programme delivery</w:t>
      </w:r>
    </w:p>
    <w:p>
      <w:pPr>
        <w:spacing w:before="240" w:after="80"/>
      </w:pPr>
      <w:r>
        <w:rPr>
          <w:b/>
          <w:sz w:val="22"/>
        </w:rPr>
        <w:t>Review</w:t>
      </w:r>
    </w:p>
    <w:p>
      <w:pPr>
        <w:pStyle w:val="ListBullet"/>
        <w:ind w:left="360"/>
      </w:pPr>
      <w:r>
        <w:rPr>
          <w:sz w:val="22"/>
        </w:rPr>
        <w:t>This charter is reviewed annually and updated as required</w:t>
      </w:r>
    </w:p>
    <w:p>
      <w:pPr>
        <w:pStyle w:val="ListBullet"/>
        <w:ind w:left="360"/>
      </w:pPr>
      <w:r>
        <w:rPr>
          <w:sz w:val="22"/>
        </w:rPr>
        <w:t>The committee conducts an annual self-assessment of its effectiveness</w:t>
      </w:r>
    </w:p>
    <w:p>
      <w:pPr>
        <w:spacing w:before="240" w:after="80"/>
      </w:pPr>
      <w:r>
        <w:rPr>
          <w:b/>
          <w:sz w:val="24"/>
        </w:rPr>
        <w:t>3.5  Roles and Responsibilities</w:t>
      </w:r>
    </w:p>
    <w:p>
      <w:pPr>
        <w:spacing w:before="80"/>
      </w:pPr>
      <w:r>
        <w:rPr>
          <w:b/>
          <w:sz w:val="22"/>
        </w:rPr>
        <w:t xml:space="preserve">Chair: </w:t>
      </w:r>
      <w:r>
        <w:rPr>
          <w:sz w:val="22"/>
        </w:rPr>
        <w:t>Sets agenda priorities, ensures effective discussion, and represents the committee externally</w:t>
      </w:r>
    </w:p>
    <w:p>
      <w:pPr>
        <w:spacing w:before="80"/>
      </w:pPr>
      <w:r>
        <w:rPr>
          <w:b/>
          <w:sz w:val="22"/>
        </w:rPr>
        <w:t xml:space="preserve">Secretary: </w:t>
      </w:r>
      <w:r>
        <w:rPr>
          <w:sz w:val="22"/>
        </w:rPr>
        <w:t>Coordinates meetings, papers, and minutes, typically the Information Security Manager</w:t>
      </w:r>
    </w:p>
    <w:p>
      <w:pPr>
        <w:spacing w:before="80"/>
      </w:pPr>
      <w:r>
        <w:rPr>
          <w:b/>
          <w:sz w:val="22"/>
        </w:rPr>
        <w:t xml:space="preserve">Members: </w:t>
      </w:r>
      <w:r>
        <w:rPr>
          <w:sz w:val="22"/>
        </w:rPr>
        <w:t>Attend meetings, contribute expertise, and uphold confidentiality</w:t>
      </w:r>
    </w:p>
    <w:p>
      <w:pPr>
        <w:spacing w:before="240" w:after="80"/>
      </w:pPr>
      <w:r>
        <w:rPr>
          <w:b/>
          <w:sz w:val="24"/>
        </w:rPr>
        <w:t>3.6  Related Documents</w:t>
      </w:r>
    </w:p>
    <w:p>
      <w:pPr>
        <w:pStyle w:val="ListBullet"/>
        <w:ind w:left="360"/>
      </w:pPr>
      <w:r>
        <w:rPr>
          <w:sz w:val="22"/>
        </w:rPr>
        <w:t>Information Security Policy</w:t>
      </w:r>
    </w:p>
    <w:p>
      <w:pPr>
        <w:pStyle w:val="ListBullet"/>
        <w:ind w:left="360"/>
      </w:pPr>
      <w:r>
        <w:rPr>
          <w:sz w:val="22"/>
        </w:rPr>
        <w:t>RACI Matrix</w:t>
      </w:r>
    </w:p>
    <w:p>
      <w:pPr>
        <w:pStyle w:val="ListBullet"/>
        <w:ind w:left="360"/>
      </w:pPr>
      <w:r>
        <w:rPr>
          <w:sz w:val="22"/>
        </w:rPr>
        <w:t>Risk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5.4 - Management responsibilities</w:t>
      </w:r>
    </w:p>
    <w:p>
      <w:pPr>
        <w:pStyle w:val="ListBullet"/>
        <w:ind w:left="360"/>
      </w:pPr>
      <w:r>
        <w:rPr>
          <w:sz w:val="22"/>
        </w:rPr>
        <w:t>5.2 - Information security roles and responsibilities</w:t>
      </w:r>
    </w:p>
    <w:p>
      <w:pPr>
        <w:pStyle w:val="ListBullet"/>
        <w:ind w:left="360"/>
      </w:pPr>
      <w:r>
        <w:rPr>
          <w:sz w:val="22"/>
        </w:rPr>
        <w:t>9.3 - Management review</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