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DISASTER RECOVERY PLAN</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Disaster Recovery Plan</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Disaster Recovery Plan</w:t>
      </w:r>
    </w:p>
    <w:p>
      <w:pPr>
        <w:spacing w:before="240" w:after="80"/>
      </w:pPr>
      <w:r>
        <w:rPr>
          <w:b/>
          <w:sz w:val="24"/>
        </w:rPr>
        <w:t>3.1  Purpose</w:t>
      </w:r>
    </w:p>
    <w:p>
      <w:pPr>
        <w:spacing w:before="40" w:after="120" w:line="280" w:lineRule="exact"/>
      </w:pPr>
      <w:r>
        <w:rPr>
          <w:sz w:val="22"/>
        </w:rPr>
        <w:t>This plan defines the technical procedures for recovering information technology systems, data, and infrastructure after a disaster or major incident. It supports the Business Continuity Plan by providing the IT recovery foundation on which business processes depend.</w:t>
      </w:r>
    </w:p>
    <w:p>
      <w:pPr>
        <w:spacing w:before="240" w:after="80"/>
      </w:pPr>
      <w:r>
        <w:rPr>
          <w:b/>
          <w:sz w:val="24"/>
        </w:rPr>
        <w:t>3.2  Scope</w:t>
      </w:r>
    </w:p>
    <w:p>
      <w:pPr>
        <w:spacing w:before="40" w:after="120" w:line="280" w:lineRule="exact"/>
      </w:pPr>
      <w:r>
        <w:rPr>
          <w:sz w:val="22"/>
        </w:rPr>
        <w:t>This plan covers all IT systems within the documented scope of the disaster recovery programme, including production applications, infrastructure, network, identity services, and supporting services such as email and collaboration.</w:t>
      </w:r>
    </w:p>
    <w:p>
      <w:pPr>
        <w:spacing w:before="240" w:after="80"/>
      </w:pPr>
      <w:r>
        <w:rPr>
          <w:b/>
          <w:sz w:val="24"/>
        </w:rPr>
        <w:t>3.3  Definitions</w:t>
      </w:r>
    </w:p>
    <w:p>
      <w:pPr>
        <w:spacing w:before="60" w:after="60"/>
      </w:pPr>
      <w:r>
        <w:rPr>
          <w:b/>
          <w:sz w:val="22"/>
        </w:rPr>
        <w:t xml:space="preserve">Disaster: </w:t>
      </w:r>
      <w:r>
        <w:rPr>
          <w:sz w:val="22"/>
        </w:rPr>
        <w:t>An event causing significant disruption to information technology services that requires the invocation of recovery procedures</w:t>
      </w:r>
    </w:p>
    <w:p>
      <w:pPr>
        <w:spacing w:before="60" w:after="60"/>
      </w:pPr>
      <w:r>
        <w:rPr>
          <w:b/>
          <w:sz w:val="22"/>
        </w:rPr>
        <w:t xml:space="preserve">Recovery Site: </w:t>
      </w:r>
      <w:r>
        <w:rPr>
          <w:sz w:val="22"/>
        </w:rPr>
        <w:t>An alternate location or cloud region where IT services can be recovered</w:t>
      </w:r>
    </w:p>
    <w:p>
      <w:pPr>
        <w:spacing w:before="60" w:after="60"/>
      </w:pPr>
      <w:r>
        <w:rPr>
          <w:b/>
          <w:sz w:val="22"/>
        </w:rPr>
        <w:t xml:space="preserve">Failover: </w:t>
      </w:r>
      <w:r>
        <w:rPr>
          <w:sz w:val="22"/>
        </w:rPr>
        <w:t>The process of redirecting service from a failed primary to a recovery instance</w:t>
      </w:r>
    </w:p>
    <w:p>
      <w:pPr>
        <w:spacing w:before="60" w:after="60"/>
      </w:pPr>
      <w:r>
        <w:rPr>
          <w:b/>
          <w:sz w:val="22"/>
        </w:rPr>
        <w:t xml:space="preserve">Failback: </w:t>
      </w:r>
      <w:r>
        <w:rPr>
          <w:sz w:val="22"/>
        </w:rPr>
        <w:t>The process of returning service to the primary location after recovery</w:t>
      </w:r>
    </w:p>
    <w:p>
      <w:pPr>
        <w:spacing w:before="240" w:after="80"/>
      </w:pPr>
      <w:r>
        <w:rPr>
          <w:b/>
          <w:sz w:val="24"/>
        </w:rPr>
        <w:t>3.4  Policy Requirements</w:t>
      </w:r>
    </w:p>
    <w:p>
      <w:pPr>
        <w:spacing w:before="240" w:after="80"/>
      </w:pPr>
      <w:r>
        <w:rPr>
          <w:b/>
          <w:sz w:val="22"/>
        </w:rPr>
        <w:t>System Recovery Priorities</w:t>
      </w:r>
    </w:p>
    <w:p>
      <w:pPr>
        <w:pStyle w:val="ListBullet"/>
        <w:ind w:left="360"/>
      </w:pPr>
      <w:r>
        <w:rPr>
          <w:sz w:val="22"/>
        </w:rPr>
        <w:t>Systems are tiered by RTO and RPO derived from the Business Impact Analysis</w:t>
      </w:r>
    </w:p>
    <w:p>
      <w:pPr>
        <w:pStyle w:val="ListBullet"/>
        <w:ind w:left="360"/>
      </w:pPr>
      <w:r>
        <w:rPr>
          <w:sz w:val="22"/>
        </w:rPr>
        <w:t>Tier 1: critical systems with RTO 4 hours, RPO 15 minutes</w:t>
      </w:r>
    </w:p>
    <w:p>
      <w:pPr>
        <w:pStyle w:val="ListBullet"/>
        <w:ind w:left="360"/>
      </w:pPr>
      <w:r>
        <w:rPr>
          <w:sz w:val="22"/>
        </w:rPr>
        <w:t>Tier 2: important systems with RTO 24 hours, RPO 4 hours</w:t>
      </w:r>
    </w:p>
    <w:p>
      <w:pPr>
        <w:pStyle w:val="ListBullet"/>
        <w:ind w:left="360"/>
      </w:pPr>
      <w:r>
        <w:rPr>
          <w:sz w:val="22"/>
        </w:rPr>
        <w:t>Tier 3: standard systems with RTO 72 hours, RPO 24 hours</w:t>
      </w:r>
    </w:p>
    <w:p>
      <w:pPr>
        <w:spacing w:before="240" w:after="80"/>
      </w:pPr>
      <w:r>
        <w:rPr>
          <w:b/>
          <w:sz w:val="22"/>
        </w:rPr>
        <w:t>Recovery Architecture</w:t>
      </w:r>
    </w:p>
    <w:p>
      <w:pPr>
        <w:pStyle w:val="ListBullet"/>
        <w:ind w:left="360"/>
      </w:pPr>
      <w:r>
        <w:rPr>
          <w:sz w:val="22"/>
        </w:rPr>
        <w:t>Tier 1 systems use active-active or warm standby architectures across regions</w:t>
      </w:r>
    </w:p>
    <w:p>
      <w:pPr>
        <w:pStyle w:val="ListBullet"/>
        <w:ind w:left="360"/>
      </w:pPr>
      <w:r>
        <w:rPr>
          <w:sz w:val="22"/>
        </w:rPr>
        <w:t>Tier 2 systems use warm standby with automated recovery processes</w:t>
      </w:r>
    </w:p>
    <w:p>
      <w:pPr>
        <w:pStyle w:val="ListBullet"/>
        <w:ind w:left="360"/>
      </w:pPr>
      <w:r>
        <w:rPr>
          <w:sz w:val="22"/>
        </w:rPr>
        <w:t>Tier 3 systems use backup and restore from offsite or cloud backups</w:t>
      </w:r>
    </w:p>
    <w:p>
      <w:pPr>
        <w:pStyle w:val="ListBullet"/>
        <w:ind w:left="360"/>
      </w:pPr>
      <w:r>
        <w:rPr>
          <w:sz w:val="22"/>
        </w:rPr>
        <w:t>Network and identity services are designed for regional resilience</w:t>
      </w:r>
    </w:p>
    <w:p>
      <w:pPr>
        <w:spacing w:before="240" w:after="80"/>
      </w:pPr>
      <w:r>
        <w:rPr>
          <w:b/>
          <w:sz w:val="22"/>
        </w:rPr>
        <w:t>Backups</w:t>
      </w:r>
    </w:p>
    <w:p>
      <w:pPr>
        <w:pStyle w:val="ListBullet"/>
        <w:ind w:left="360"/>
      </w:pPr>
      <w:r>
        <w:rPr>
          <w:sz w:val="22"/>
        </w:rPr>
        <w:t>Backups are taken in line with the Backup and Recovery Procedure</w:t>
      </w:r>
    </w:p>
    <w:p>
      <w:pPr>
        <w:pStyle w:val="ListBullet"/>
        <w:ind w:left="360"/>
      </w:pPr>
      <w:r>
        <w:rPr>
          <w:sz w:val="22"/>
        </w:rPr>
        <w:t>Backup integrity is verified through regular test restores</w:t>
      </w:r>
    </w:p>
    <w:p>
      <w:pPr>
        <w:pStyle w:val="ListBullet"/>
        <w:ind w:left="360"/>
      </w:pPr>
      <w:r>
        <w:rPr>
          <w:sz w:val="22"/>
        </w:rPr>
        <w:t>Offsite or cloud copies are maintained for ransomware resilience</w:t>
      </w:r>
    </w:p>
    <w:p>
      <w:pPr>
        <w:spacing w:before="240" w:after="80"/>
      </w:pPr>
      <w:r>
        <w:rPr>
          <w:b/>
          <w:sz w:val="22"/>
        </w:rPr>
        <w:t>Activation and Recovery Steps</w:t>
      </w:r>
    </w:p>
    <w:p>
      <w:pPr>
        <w:pStyle w:val="ListBullet"/>
        <w:ind w:left="360"/>
      </w:pPr>
      <w:r>
        <w:rPr>
          <w:sz w:val="22"/>
        </w:rPr>
        <w:t>Disaster declaration is made by the IT Executive on advice of the Incident Management Team</w:t>
      </w:r>
    </w:p>
    <w:p>
      <w:pPr>
        <w:pStyle w:val="ListBullet"/>
        <w:ind w:left="360"/>
      </w:pPr>
      <w:r>
        <w:rPr>
          <w:sz w:val="22"/>
        </w:rPr>
        <w:t>Recovery Teams execute the system-specific runbooks held in the recovery library</w:t>
      </w:r>
    </w:p>
    <w:p>
      <w:pPr>
        <w:pStyle w:val="ListBullet"/>
        <w:ind w:left="360"/>
      </w:pPr>
      <w:r>
        <w:rPr>
          <w:sz w:val="22"/>
        </w:rPr>
        <w:t>Recovery progress is reported to the Crisis Management Team at agreed cadence</w:t>
      </w:r>
    </w:p>
    <w:p>
      <w:pPr>
        <w:spacing w:before="240" w:after="80"/>
      </w:pPr>
      <w:r>
        <w:rPr>
          <w:b/>
          <w:sz w:val="22"/>
        </w:rPr>
        <w:t>Communication</w:t>
      </w:r>
    </w:p>
    <w:p>
      <w:pPr>
        <w:pStyle w:val="ListBullet"/>
        <w:ind w:left="360"/>
      </w:pPr>
      <w:r>
        <w:rPr>
          <w:sz w:val="22"/>
        </w:rPr>
        <w:t>Status updates are provided to business stakeholders, customers, and suppliers</w:t>
      </w:r>
    </w:p>
    <w:p>
      <w:pPr>
        <w:pStyle w:val="ListBullet"/>
        <w:ind w:left="360"/>
      </w:pPr>
      <w:r>
        <w:rPr>
          <w:sz w:val="22"/>
        </w:rPr>
        <w:t>Service status pages are updated to reflect current state</w:t>
      </w:r>
    </w:p>
    <w:p>
      <w:pPr>
        <w:spacing w:before="240" w:after="80"/>
      </w:pPr>
      <w:r>
        <w:rPr>
          <w:b/>
          <w:sz w:val="22"/>
        </w:rPr>
        <w:t>Failback and Closure</w:t>
      </w:r>
    </w:p>
    <w:p>
      <w:pPr>
        <w:pStyle w:val="ListBullet"/>
        <w:ind w:left="360"/>
      </w:pPr>
      <w:r>
        <w:rPr>
          <w:sz w:val="22"/>
        </w:rPr>
        <w:t>Failback to the primary site is planned and executed once stable conditions are confirmed</w:t>
      </w:r>
    </w:p>
    <w:p>
      <w:pPr>
        <w:pStyle w:val="ListBullet"/>
        <w:ind w:left="360"/>
      </w:pPr>
      <w:r>
        <w:rPr>
          <w:sz w:val="22"/>
        </w:rPr>
        <w:t>Post-incident review captures lessons learned and improvement actions</w:t>
      </w:r>
    </w:p>
    <w:p>
      <w:pPr>
        <w:spacing w:before="240" w:after="80"/>
      </w:pPr>
      <w:r>
        <w:rPr>
          <w:b/>
          <w:sz w:val="22"/>
        </w:rPr>
        <w:t>Testing</w:t>
      </w:r>
    </w:p>
    <w:p>
      <w:pPr>
        <w:pStyle w:val="ListBullet"/>
        <w:ind w:left="360"/>
      </w:pPr>
      <w:r>
        <w:rPr>
          <w:sz w:val="22"/>
        </w:rPr>
        <w:t>Tier 1 systems are tested at least annually through full failover exercises</w:t>
      </w:r>
    </w:p>
    <w:p>
      <w:pPr>
        <w:pStyle w:val="ListBullet"/>
        <w:ind w:left="360"/>
      </w:pPr>
      <w:r>
        <w:rPr>
          <w:sz w:val="22"/>
        </w:rPr>
        <w:t>Tier 2 and 3 systems are tested through component restores and tabletop exercises</w:t>
      </w:r>
    </w:p>
    <w:p>
      <w:pPr>
        <w:pStyle w:val="ListBullet"/>
        <w:ind w:left="360"/>
      </w:pPr>
      <w:r>
        <w:rPr>
          <w:sz w:val="22"/>
        </w:rPr>
        <w:t>Test results and findings are recorded in the DR test register</w:t>
      </w:r>
    </w:p>
    <w:p>
      <w:pPr>
        <w:spacing w:before="240" w:after="80"/>
      </w:pPr>
      <w:r>
        <w:rPr>
          <w:b/>
          <w:sz w:val="24"/>
        </w:rPr>
        <w:t>3.5  Roles and Responsibilities</w:t>
      </w:r>
    </w:p>
    <w:p>
      <w:pPr>
        <w:spacing w:before="80"/>
      </w:pPr>
      <w:r>
        <w:rPr>
          <w:b/>
          <w:sz w:val="22"/>
        </w:rPr>
        <w:t xml:space="preserve">IT Executive: </w:t>
      </w:r>
      <w:r>
        <w:rPr>
          <w:sz w:val="22"/>
        </w:rPr>
        <w:t>Authorises disaster declaration and recovery decisions</w:t>
      </w:r>
    </w:p>
    <w:p>
      <w:pPr>
        <w:spacing w:before="80"/>
      </w:pPr>
      <w:r>
        <w:rPr>
          <w:b/>
          <w:sz w:val="22"/>
        </w:rPr>
        <w:t xml:space="preserve">Disaster Recovery Manager: </w:t>
      </w:r>
      <w:r>
        <w:rPr>
          <w:sz w:val="22"/>
        </w:rPr>
        <w:t>Coordinates recovery and maintains the plan</w:t>
      </w:r>
    </w:p>
    <w:p>
      <w:pPr>
        <w:spacing w:before="80"/>
      </w:pPr>
      <w:r>
        <w:rPr>
          <w:b/>
          <w:sz w:val="22"/>
        </w:rPr>
        <w:t xml:space="preserve">Application and Infrastructure Owners: </w:t>
      </w:r>
      <w:r>
        <w:rPr>
          <w:sz w:val="22"/>
        </w:rPr>
        <w:t>Maintain system-level runbooks and participate in recovery</w:t>
      </w:r>
    </w:p>
    <w:p>
      <w:pPr>
        <w:spacing w:before="240" w:after="80"/>
      </w:pPr>
      <w:r>
        <w:rPr>
          <w:b/>
          <w:sz w:val="24"/>
        </w:rPr>
        <w:t>3.6  Related Documents</w:t>
      </w:r>
    </w:p>
    <w:p>
      <w:pPr>
        <w:pStyle w:val="ListBullet"/>
        <w:ind w:left="360"/>
      </w:pPr>
      <w:r>
        <w:rPr>
          <w:sz w:val="22"/>
        </w:rPr>
        <w:t>Business Continuity Plan</w:t>
      </w:r>
    </w:p>
    <w:p>
      <w:pPr>
        <w:pStyle w:val="ListBullet"/>
        <w:ind w:left="360"/>
      </w:pPr>
      <w:r>
        <w:rPr>
          <w:sz w:val="22"/>
        </w:rPr>
        <w:t>Backup and Recovery Procedure</w:t>
      </w:r>
    </w:p>
    <w:p>
      <w:pPr>
        <w:pStyle w:val="ListBullet"/>
        <w:ind w:left="360"/>
      </w:pPr>
      <w:r>
        <w:rPr>
          <w:sz w:val="22"/>
        </w:rPr>
        <w:t>Network Redundancy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5.30 - ICT readiness for business continuity</w:t>
      </w:r>
    </w:p>
    <w:p>
      <w:pPr>
        <w:pStyle w:val="ListBullet"/>
        <w:ind w:left="360"/>
      </w:pPr>
      <w:r>
        <w:rPr>
          <w:sz w:val="22"/>
        </w:rPr>
        <w:t>8.14 - Redundancy of information processing facilities</w:t>
      </w:r>
    </w:p>
    <w:p>
      <w:pPr>
        <w:pStyle w:val="ListBullet"/>
        <w:ind w:left="360"/>
      </w:pPr>
      <w:r>
        <w:rPr>
          <w:sz w:val="22"/>
        </w:rPr>
        <w:t>8.13 - Information backup</w:t>
      </w:r>
    </w:p>
    <w:p>
      <w:pPr>
        <w:pStyle w:val="ListBullet"/>
        <w:ind w:left="360"/>
      </w:pPr>
      <w:r>
        <w:rPr>
          <w:sz w:val="22"/>
        </w:rPr>
        <w:t>5.29 - Information security during disruption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