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BUSINESS CONTINUITY PLAN</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Business Continuity Plan</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Business Continuity Plan</w:t>
      </w:r>
    </w:p>
    <w:p>
      <w:pPr>
        <w:spacing w:before="240" w:after="80"/>
      </w:pPr>
      <w:r>
        <w:rPr>
          <w:b/>
          <w:sz w:val="24"/>
        </w:rPr>
        <w:t>3.1  Purpose</w:t>
      </w:r>
    </w:p>
    <w:p>
      <w:pPr>
        <w:spacing w:before="40" w:after="120" w:line="280" w:lineRule="exact"/>
      </w:pPr>
      <w:r>
        <w:rPr>
          <w:sz w:val="22"/>
        </w:rPr>
        <w:t>This plan defines how the organisation will maintain critical business operations during and after a disruptive event. It establishes the response structure, recovery priorities, and resource requirements needed to deliver essential services within agreed timeframes.</w:t>
      </w:r>
    </w:p>
    <w:p>
      <w:pPr>
        <w:spacing w:before="240" w:after="80"/>
      </w:pPr>
      <w:r>
        <w:rPr>
          <w:b/>
          <w:sz w:val="24"/>
        </w:rPr>
        <w:t>3.2  Scope</w:t>
      </w:r>
    </w:p>
    <w:p>
      <w:pPr>
        <w:spacing w:before="40" w:after="120" w:line="280" w:lineRule="exact"/>
      </w:pPr>
      <w:r>
        <w:rPr>
          <w:sz w:val="22"/>
        </w:rPr>
        <w:t>This plan applies to all business-critical processes, supporting systems, and personnel of the organisation. It applies to disruptive events of all causes including natural disasters, technology failures, cyber events, supplier failures, and pandemics.</w:t>
      </w:r>
    </w:p>
    <w:p>
      <w:pPr>
        <w:spacing w:before="240" w:after="80"/>
      </w:pPr>
      <w:r>
        <w:rPr>
          <w:b/>
          <w:sz w:val="24"/>
        </w:rPr>
        <w:t>3.3  Definitions</w:t>
      </w:r>
    </w:p>
    <w:p>
      <w:pPr>
        <w:spacing w:before="60" w:after="60"/>
      </w:pPr>
      <w:r>
        <w:rPr>
          <w:b/>
          <w:sz w:val="22"/>
        </w:rPr>
        <w:t xml:space="preserve">Business Continuity Management (BCM): </w:t>
      </w:r>
      <w:r>
        <w:rPr>
          <w:sz w:val="22"/>
        </w:rPr>
        <w:t>The discipline that prepares the organisation to maintain or resume critical operations during disruption</w:t>
      </w:r>
    </w:p>
    <w:p>
      <w:pPr>
        <w:spacing w:before="60" w:after="60"/>
      </w:pPr>
      <w:r>
        <w:rPr>
          <w:b/>
          <w:sz w:val="22"/>
        </w:rPr>
        <w:t xml:space="preserve">Business Impact Analysis (BIA): </w:t>
      </w:r>
      <w:r>
        <w:rPr>
          <w:sz w:val="22"/>
        </w:rPr>
        <w:t>An analysis of the effect of disruption to processes over time, used to prioritise recovery</w:t>
      </w:r>
    </w:p>
    <w:p>
      <w:pPr>
        <w:spacing w:before="60" w:after="60"/>
      </w:pPr>
      <w:r>
        <w:rPr>
          <w:b/>
          <w:sz w:val="22"/>
        </w:rPr>
        <w:t xml:space="preserve">Recovery Time Objective (RTO): </w:t>
      </w:r>
      <w:r>
        <w:rPr>
          <w:sz w:val="22"/>
        </w:rPr>
        <w:t>The maximum acceptable time within which a process or system must be restored after a disruption</w:t>
      </w:r>
    </w:p>
    <w:p>
      <w:pPr>
        <w:spacing w:before="60" w:after="60"/>
      </w:pPr>
      <w:r>
        <w:rPr>
          <w:b/>
          <w:sz w:val="22"/>
        </w:rPr>
        <w:t xml:space="preserve">Recovery Point Objective (RPO): </w:t>
      </w:r>
      <w:r>
        <w:rPr>
          <w:sz w:val="22"/>
        </w:rPr>
        <w:t>The maximum acceptable amount of data loss measured in time</w:t>
      </w:r>
    </w:p>
    <w:p>
      <w:pPr>
        <w:spacing w:before="60" w:after="60"/>
      </w:pPr>
      <w:r>
        <w:rPr>
          <w:b/>
          <w:sz w:val="22"/>
        </w:rPr>
        <w:t xml:space="preserve">Maximum Tolerable Period of Disruption (MTPD): </w:t>
      </w:r>
      <w:r>
        <w:rPr>
          <w:sz w:val="22"/>
        </w:rPr>
        <w:t>The point at which the impact of disruption becomes unacceptable to the organisation</w:t>
      </w:r>
    </w:p>
    <w:p>
      <w:pPr>
        <w:spacing w:before="240" w:after="80"/>
      </w:pPr>
      <w:r>
        <w:rPr>
          <w:b/>
          <w:sz w:val="24"/>
        </w:rPr>
        <w:t>3.4  Policy Requirements</w:t>
      </w:r>
    </w:p>
    <w:p>
      <w:pPr>
        <w:spacing w:before="240" w:after="80"/>
      </w:pPr>
      <w:r>
        <w:rPr>
          <w:b/>
          <w:sz w:val="22"/>
        </w:rPr>
        <w:t>Governance</w:t>
      </w:r>
    </w:p>
    <w:p>
      <w:pPr>
        <w:pStyle w:val="ListBullet"/>
        <w:ind w:left="360"/>
      </w:pPr>
      <w:r>
        <w:rPr>
          <w:sz w:val="22"/>
        </w:rPr>
        <w:t>The Business Continuity Steering Group oversees the BCM programme</w:t>
      </w:r>
    </w:p>
    <w:p>
      <w:pPr>
        <w:pStyle w:val="ListBullet"/>
        <w:ind w:left="360"/>
      </w:pPr>
      <w:r>
        <w:rPr>
          <w:sz w:val="22"/>
        </w:rPr>
        <w:t>The Executive Sponsor approves this plan and authorises invocation</w:t>
      </w:r>
    </w:p>
    <w:p>
      <w:pPr>
        <w:pStyle w:val="ListBullet"/>
        <w:ind w:left="360"/>
      </w:pPr>
      <w:r>
        <w:rPr>
          <w:sz w:val="22"/>
        </w:rPr>
        <w:t>The plan is reviewed annually and after any material event or change</w:t>
      </w:r>
    </w:p>
    <w:p>
      <w:pPr>
        <w:spacing w:before="240" w:after="80"/>
      </w:pPr>
      <w:r>
        <w:rPr>
          <w:b/>
          <w:sz w:val="22"/>
        </w:rPr>
        <w:t>Critical Processes and Recovery Priorities</w:t>
      </w:r>
    </w:p>
    <w:p>
      <w:pPr>
        <w:pStyle w:val="ListBullet"/>
        <w:ind w:left="360"/>
      </w:pPr>
      <w:r>
        <w:rPr>
          <w:sz w:val="22"/>
        </w:rPr>
        <w:t>Critical processes are identified through the Business Impact Analysis and assigned RTO and RPO</w:t>
      </w:r>
    </w:p>
    <w:p>
      <w:pPr>
        <w:pStyle w:val="ListBullet"/>
        <w:ind w:left="360"/>
      </w:pPr>
      <w:r>
        <w:rPr>
          <w:sz w:val="22"/>
        </w:rPr>
        <w:t>Recovery priorities are documented in the recovery sequence schedule</w:t>
      </w:r>
    </w:p>
    <w:p>
      <w:pPr>
        <w:pStyle w:val="ListBullet"/>
        <w:ind w:left="360"/>
      </w:pPr>
      <w:r>
        <w:rPr>
          <w:sz w:val="22"/>
        </w:rPr>
        <w:t>Dependencies including systems, suppliers, and people are mapped</w:t>
      </w:r>
    </w:p>
    <w:p>
      <w:pPr>
        <w:spacing w:before="240" w:after="80"/>
      </w:pPr>
      <w:r>
        <w:rPr>
          <w:b/>
          <w:sz w:val="22"/>
        </w:rPr>
        <w:t>Activation</w:t>
      </w:r>
    </w:p>
    <w:p>
      <w:pPr>
        <w:pStyle w:val="ListBullet"/>
        <w:ind w:left="360"/>
      </w:pPr>
      <w:r>
        <w:rPr>
          <w:sz w:val="22"/>
        </w:rPr>
        <w:t>The Incident Management Team assesses incidents and recommends activation</w:t>
      </w:r>
    </w:p>
    <w:p>
      <w:pPr>
        <w:pStyle w:val="ListBullet"/>
        <w:ind w:left="360"/>
      </w:pPr>
      <w:r>
        <w:rPr>
          <w:sz w:val="22"/>
        </w:rPr>
        <w:t>The Executive Sponsor or delegate authorises activation</w:t>
      </w:r>
    </w:p>
    <w:p>
      <w:pPr>
        <w:pStyle w:val="ListBullet"/>
        <w:ind w:left="360"/>
      </w:pPr>
      <w:r>
        <w:rPr>
          <w:sz w:val="22"/>
        </w:rPr>
        <w:t>Notifications cascade through the call tree and approved messaging channels</w:t>
      </w:r>
    </w:p>
    <w:p>
      <w:pPr>
        <w:spacing w:before="240" w:after="80"/>
      </w:pPr>
      <w:r>
        <w:rPr>
          <w:b/>
          <w:sz w:val="22"/>
        </w:rPr>
        <w:t>Response Structure</w:t>
      </w:r>
    </w:p>
    <w:p>
      <w:pPr>
        <w:pStyle w:val="ListBullet"/>
        <w:ind w:left="360"/>
      </w:pPr>
      <w:r>
        <w:rPr>
          <w:sz w:val="22"/>
        </w:rPr>
        <w:t>Crisis Management Team: strategic decisions, external communications, and stakeholder management</w:t>
      </w:r>
    </w:p>
    <w:p>
      <w:pPr>
        <w:pStyle w:val="ListBullet"/>
        <w:ind w:left="360"/>
      </w:pPr>
      <w:r>
        <w:rPr>
          <w:sz w:val="22"/>
        </w:rPr>
        <w:t>Incident Management Team: tactical coordination of response and recovery</w:t>
      </w:r>
    </w:p>
    <w:p>
      <w:pPr>
        <w:pStyle w:val="ListBullet"/>
        <w:ind w:left="360"/>
      </w:pPr>
      <w:r>
        <w:rPr>
          <w:sz w:val="22"/>
        </w:rPr>
        <w:t>Recovery Teams: process and system recovery for each critical service</w:t>
      </w:r>
    </w:p>
    <w:p>
      <w:pPr>
        <w:pStyle w:val="ListBullet"/>
        <w:ind w:left="360"/>
      </w:pPr>
      <w:r>
        <w:rPr>
          <w:sz w:val="22"/>
        </w:rPr>
        <w:t>Liaison roles: HR, Legal, Communications, Customer, Supplier</w:t>
      </w:r>
    </w:p>
    <w:p>
      <w:pPr>
        <w:spacing w:before="240" w:after="80"/>
      </w:pPr>
      <w:r>
        <w:rPr>
          <w:b/>
          <w:sz w:val="22"/>
        </w:rPr>
        <w:t>Communications</w:t>
      </w:r>
    </w:p>
    <w:p>
      <w:pPr>
        <w:pStyle w:val="ListBullet"/>
        <w:ind w:left="360"/>
      </w:pPr>
      <w:r>
        <w:rPr>
          <w:sz w:val="22"/>
        </w:rPr>
        <w:t>Internal communications use approved channels and pre-drafted templates</w:t>
      </w:r>
    </w:p>
    <w:p>
      <w:pPr>
        <w:pStyle w:val="ListBullet"/>
        <w:ind w:left="360"/>
      </w:pPr>
      <w:r>
        <w:rPr>
          <w:sz w:val="22"/>
        </w:rPr>
        <w:t>External communications including media are coordinated by the designated spokesperson</w:t>
      </w:r>
    </w:p>
    <w:p>
      <w:pPr>
        <w:pStyle w:val="ListBullet"/>
        <w:ind w:left="360"/>
      </w:pPr>
      <w:r>
        <w:rPr>
          <w:sz w:val="22"/>
        </w:rPr>
        <w:t>Customer and regulator notifications follow contractual and legal requirements</w:t>
      </w:r>
    </w:p>
    <w:p>
      <w:pPr>
        <w:spacing w:before="240" w:after="80"/>
      </w:pPr>
      <w:r>
        <w:rPr>
          <w:b/>
          <w:sz w:val="22"/>
        </w:rPr>
        <w:t>Workplace Recovery and Alternate Operations</w:t>
      </w:r>
    </w:p>
    <w:p>
      <w:pPr>
        <w:pStyle w:val="ListBullet"/>
        <w:ind w:left="360"/>
      </w:pPr>
      <w:r>
        <w:rPr>
          <w:sz w:val="22"/>
        </w:rPr>
        <w:t>Alternate work locations and remote working capability are maintained</w:t>
      </w:r>
    </w:p>
    <w:p>
      <w:pPr>
        <w:pStyle w:val="ListBullet"/>
        <w:ind w:left="360"/>
      </w:pPr>
      <w:r>
        <w:rPr>
          <w:sz w:val="22"/>
        </w:rPr>
        <w:t>Critical equipment and supplies are pre-positioned where required</w:t>
      </w:r>
    </w:p>
    <w:p>
      <w:pPr>
        <w:spacing w:before="240" w:after="80"/>
      </w:pPr>
      <w:r>
        <w:rPr>
          <w:b/>
          <w:sz w:val="22"/>
        </w:rPr>
        <w:t>Recovery</w:t>
      </w:r>
    </w:p>
    <w:p>
      <w:pPr>
        <w:pStyle w:val="ListBullet"/>
        <w:ind w:left="360"/>
      </w:pPr>
      <w:r>
        <w:rPr>
          <w:sz w:val="22"/>
        </w:rPr>
        <w:t>Recovery proceeds in line with the recovery sequence and dependencies</w:t>
      </w:r>
    </w:p>
    <w:p>
      <w:pPr>
        <w:pStyle w:val="ListBullet"/>
        <w:ind w:left="360"/>
      </w:pPr>
      <w:r>
        <w:rPr>
          <w:sz w:val="22"/>
        </w:rPr>
        <w:t>Restoration is verified against acceptance criteria before resuming normal operations</w:t>
      </w:r>
    </w:p>
    <w:p>
      <w:pPr>
        <w:pStyle w:val="ListBullet"/>
        <w:ind w:left="360"/>
      </w:pPr>
      <w:r>
        <w:rPr>
          <w:sz w:val="22"/>
        </w:rPr>
        <w:t>Lessons learned are captured and used to improve the plan</w:t>
      </w:r>
    </w:p>
    <w:p>
      <w:pPr>
        <w:spacing w:before="240" w:after="80"/>
      </w:pPr>
      <w:r>
        <w:rPr>
          <w:b/>
          <w:sz w:val="22"/>
        </w:rPr>
        <w:t>Testing and Maintenance</w:t>
      </w:r>
    </w:p>
    <w:p>
      <w:pPr>
        <w:pStyle w:val="ListBullet"/>
        <w:ind w:left="360"/>
      </w:pPr>
      <w:r>
        <w:rPr>
          <w:sz w:val="22"/>
        </w:rPr>
        <w:t>The plan is exercised at least annually through tabletop or live exercises</w:t>
      </w:r>
    </w:p>
    <w:p>
      <w:pPr>
        <w:pStyle w:val="ListBullet"/>
        <w:ind w:left="360"/>
      </w:pPr>
      <w:r>
        <w:rPr>
          <w:sz w:val="22"/>
        </w:rPr>
        <w:t>Component recovery procedures are tested more frequently as appropriate</w:t>
      </w:r>
    </w:p>
    <w:p>
      <w:pPr>
        <w:pStyle w:val="ListBullet"/>
        <w:ind w:left="360"/>
      </w:pPr>
      <w:r>
        <w:rPr>
          <w:sz w:val="22"/>
        </w:rPr>
        <w:t>Findings from exercises and incidents are tracked to closure</w:t>
      </w:r>
    </w:p>
    <w:p>
      <w:pPr>
        <w:spacing w:before="240" w:after="80"/>
      </w:pPr>
      <w:r>
        <w:rPr>
          <w:b/>
          <w:sz w:val="24"/>
        </w:rPr>
        <w:t>3.5  Roles and Responsibilities</w:t>
      </w:r>
    </w:p>
    <w:p>
      <w:pPr>
        <w:spacing w:before="80"/>
      </w:pPr>
      <w:r>
        <w:rPr>
          <w:b/>
          <w:sz w:val="22"/>
        </w:rPr>
        <w:t xml:space="preserve">Executive Sponsor: </w:t>
      </w:r>
      <w:r>
        <w:rPr>
          <w:sz w:val="22"/>
        </w:rPr>
        <w:t>Authorises plan invocation and oversees the BCM programme</w:t>
      </w:r>
    </w:p>
    <w:p>
      <w:pPr>
        <w:spacing w:before="80"/>
      </w:pPr>
      <w:r>
        <w:rPr>
          <w:b/>
          <w:sz w:val="22"/>
        </w:rPr>
        <w:t xml:space="preserve">Business Continuity Manager: </w:t>
      </w:r>
      <w:r>
        <w:rPr>
          <w:sz w:val="22"/>
        </w:rPr>
        <w:t>Maintains the plan, coordinates exercises, and reports on programme health</w:t>
      </w:r>
    </w:p>
    <w:p>
      <w:pPr>
        <w:spacing w:before="80"/>
      </w:pPr>
      <w:r>
        <w:rPr>
          <w:b/>
          <w:sz w:val="22"/>
        </w:rPr>
        <w:t xml:space="preserve">Process Owners: </w:t>
      </w:r>
      <w:r>
        <w:rPr>
          <w:sz w:val="22"/>
        </w:rPr>
        <w:t>Maintain process-level continuity arrangements and participate in exercises</w:t>
      </w:r>
    </w:p>
    <w:p>
      <w:pPr>
        <w:spacing w:before="80"/>
      </w:pPr>
      <w:r>
        <w:rPr>
          <w:b/>
          <w:sz w:val="22"/>
        </w:rPr>
        <w:t xml:space="preserve">All Personnel: </w:t>
      </w:r>
      <w:r>
        <w:rPr>
          <w:sz w:val="22"/>
        </w:rPr>
        <w:t>Aware of their role in continuity and able to act on the plan if invoked</w:t>
      </w:r>
    </w:p>
    <w:p>
      <w:pPr>
        <w:spacing w:before="240" w:after="80"/>
      </w:pPr>
      <w:r>
        <w:rPr>
          <w:b/>
          <w:sz w:val="24"/>
        </w:rPr>
        <w:t>3.6  Related Documents</w:t>
      </w:r>
    </w:p>
    <w:p>
      <w:pPr>
        <w:pStyle w:val="ListBullet"/>
        <w:ind w:left="360"/>
      </w:pPr>
      <w:r>
        <w:rPr>
          <w:sz w:val="22"/>
        </w:rPr>
        <w:t>Disaster Recovery Plan</w:t>
      </w:r>
    </w:p>
    <w:p>
      <w:pPr>
        <w:pStyle w:val="ListBullet"/>
        <w:ind w:left="360"/>
      </w:pPr>
      <w:r>
        <w:rPr>
          <w:sz w:val="22"/>
        </w:rPr>
        <w:t>Backup and Recovery Procedure</w:t>
      </w:r>
    </w:p>
    <w:p>
      <w:pPr>
        <w:pStyle w:val="ListBullet"/>
        <w:ind w:left="360"/>
      </w:pPr>
      <w:r>
        <w:rPr>
          <w:sz w:val="22"/>
        </w:rPr>
        <w:t>Crisis Communication Plan</w:t>
      </w:r>
    </w:p>
    <w:p>
      <w:pPr>
        <w:pStyle w:val="ListBullet"/>
        <w:ind w:left="360"/>
      </w:pPr>
      <w:r>
        <w:rPr>
          <w:sz w:val="22"/>
        </w:rPr>
        <w:t>Business Impact Analysis</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5.29 - Information security during disruption</w:t>
      </w:r>
    </w:p>
    <w:p>
      <w:pPr>
        <w:pStyle w:val="ListBullet"/>
        <w:ind w:left="360"/>
      </w:pPr>
      <w:r>
        <w:rPr>
          <w:sz w:val="22"/>
        </w:rPr>
        <w:t>5.30 - ICT readiness for business continuity</w:t>
      </w:r>
    </w:p>
    <w:p>
      <w:pPr>
        <w:pStyle w:val="ListBullet"/>
        <w:ind w:left="360"/>
      </w:pPr>
      <w:r>
        <w:rPr>
          <w:sz w:val="22"/>
        </w:rPr>
        <w:t>8.14 - Redundancy of information processing facilities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