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AUDIT TRAIL CONFIGURATION STANDARDS</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Audit Trail Configuration Standards</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Audit Trail Configuration Standards</w:t>
      </w:r>
    </w:p>
    <w:p>
      <w:pPr>
        <w:spacing w:before="240" w:after="80"/>
      </w:pPr>
      <w:r>
        <w:rPr>
          <w:b/>
          <w:sz w:val="24"/>
        </w:rPr>
        <w:t>3.1  Purpose</w:t>
      </w:r>
    </w:p>
    <w:p>
      <w:pPr>
        <w:spacing w:before="40" w:after="120" w:line="280" w:lineRule="exact"/>
      </w:pPr>
      <w:r>
        <w:rPr>
          <w:sz w:val="22"/>
        </w:rPr>
        <w:t>This standard defines the technical requirements for configuring audit trails and log collection across information systems. Consistent audit configuration enables effective monitoring, investigation, and compliance reporting.</w:t>
      </w:r>
    </w:p>
    <w:p>
      <w:pPr>
        <w:spacing w:before="240" w:after="80"/>
      </w:pPr>
      <w:r>
        <w:rPr>
          <w:b/>
          <w:sz w:val="24"/>
        </w:rPr>
        <w:t>3.2  Scope</w:t>
      </w:r>
    </w:p>
    <w:p>
      <w:pPr>
        <w:spacing w:before="40" w:after="120" w:line="280" w:lineRule="exact"/>
      </w:pPr>
      <w:r>
        <w:rPr>
          <w:sz w:val="22"/>
        </w:rPr>
        <w:t>This standard applies to all systems that generate security-relevant events, including operating systems, applications, databases, network and security devices, identity systems, and cloud services.</w:t>
      </w:r>
    </w:p>
    <w:p>
      <w:pPr>
        <w:spacing w:before="240" w:after="80"/>
      </w:pPr>
      <w:r>
        <w:rPr>
          <w:b/>
          <w:sz w:val="24"/>
        </w:rPr>
        <w:t>3.3  Definitions</w:t>
      </w:r>
    </w:p>
    <w:p>
      <w:pPr>
        <w:spacing w:before="60" w:after="60"/>
      </w:pPr>
      <w:r>
        <w:rPr>
          <w:b/>
          <w:sz w:val="22"/>
        </w:rPr>
        <w:t xml:space="preserve">Audit Trail: </w:t>
      </w:r>
      <w:r>
        <w:rPr>
          <w:sz w:val="22"/>
        </w:rPr>
        <w:t>A chronological record of system activities used to support detection, investigation, and accountability</w:t>
      </w:r>
    </w:p>
    <w:p>
      <w:pPr>
        <w:spacing w:before="60" w:after="60"/>
      </w:pPr>
      <w:r>
        <w:rPr>
          <w:b/>
          <w:sz w:val="22"/>
        </w:rPr>
        <w:t xml:space="preserve">Log Source: </w:t>
      </w:r>
      <w:r>
        <w:rPr>
          <w:sz w:val="22"/>
        </w:rPr>
        <w:t>A system or service that generates audit events</w:t>
      </w:r>
    </w:p>
    <w:p>
      <w:pPr>
        <w:spacing w:before="60" w:after="60"/>
      </w:pPr>
      <w:r>
        <w:rPr>
          <w:b/>
          <w:sz w:val="22"/>
        </w:rPr>
        <w:t xml:space="preserve">Log Forwarding: </w:t>
      </w:r>
      <w:r>
        <w:rPr>
          <w:sz w:val="22"/>
        </w:rPr>
        <w:t>The transmission of log data from a source to a central log management platform</w:t>
      </w:r>
    </w:p>
    <w:p>
      <w:pPr>
        <w:spacing w:before="60" w:after="60"/>
      </w:pPr>
      <w:r>
        <w:rPr>
          <w:b/>
          <w:sz w:val="22"/>
        </w:rPr>
        <w:t xml:space="preserve">Log Integrity: </w:t>
      </w:r>
      <w:r>
        <w:rPr>
          <w:sz w:val="22"/>
        </w:rPr>
        <w:t>Protection of log data from unauthorised modification or deletion</w:t>
      </w:r>
    </w:p>
    <w:p>
      <w:pPr>
        <w:spacing w:before="240" w:after="80"/>
      </w:pPr>
      <w:r>
        <w:rPr>
          <w:b/>
          <w:sz w:val="24"/>
        </w:rPr>
        <w:t>3.4  Policy Requirements</w:t>
      </w:r>
    </w:p>
    <w:p>
      <w:pPr>
        <w:spacing w:before="240" w:after="80"/>
      </w:pPr>
      <w:r>
        <w:rPr>
          <w:b/>
          <w:sz w:val="22"/>
        </w:rPr>
        <w:t>Required Events</w:t>
      </w:r>
    </w:p>
    <w:p>
      <w:pPr>
        <w:pStyle w:val="ListBullet"/>
        <w:ind w:left="360"/>
      </w:pPr>
      <w:r>
        <w:rPr>
          <w:sz w:val="22"/>
        </w:rPr>
        <w:t>Authentication events: logon, logoff, failed authentication, MFA challenges</w:t>
      </w:r>
    </w:p>
    <w:p>
      <w:pPr>
        <w:pStyle w:val="ListBullet"/>
        <w:ind w:left="360"/>
      </w:pPr>
      <w:r>
        <w:rPr>
          <w:sz w:val="22"/>
        </w:rPr>
        <w:t>Authorisation events: access granted, access denied, privilege use</w:t>
      </w:r>
    </w:p>
    <w:p>
      <w:pPr>
        <w:pStyle w:val="ListBullet"/>
        <w:ind w:left="360"/>
      </w:pPr>
      <w:r>
        <w:rPr>
          <w:sz w:val="22"/>
        </w:rPr>
        <w:t>Account lifecycle events: account created, modified, disabled, deleted</w:t>
      </w:r>
    </w:p>
    <w:p>
      <w:pPr>
        <w:pStyle w:val="ListBullet"/>
        <w:ind w:left="360"/>
      </w:pPr>
      <w:r>
        <w:rPr>
          <w:sz w:val="22"/>
        </w:rPr>
        <w:t>Configuration events: changes to security settings, permissions, group memberships</w:t>
      </w:r>
    </w:p>
    <w:p>
      <w:pPr>
        <w:pStyle w:val="ListBullet"/>
        <w:ind w:left="360"/>
      </w:pPr>
      <w:r>
        <w:rPr>
          <w:sz w:val="22"/>
        </w:rPr>
        <w:t>Data access events: access to sensitive data, exports, bulk operations</w:t>
      </w:r>
    </w:p>
    <w:p>
      <w:pPr>
        <w:pStyle w:val="ListBullet"/>
        <w:ind w:left="360"/>
      </w:pPr>
      <w:r>
        <w:rPr>
          <w:sz w:val="22"/>
        </w:rPr>
        <w:t>System events: startup, shutdown, service start/stop, error conditions</w:t>
      </w:r>
    </w:p>
    <w:p>
      <w:pPr>
        <w:pStyle w:val="ListBullet"/>
        <w:ind w:left="360"/>
      </w:pPr>
      <w:r>
        <w:rPr>
          <w:sz w:val="22"/>
        </w:rPr>
        <w:t>Security tool events: detections, blocks, exceptions</w:t>
      </w:r>
    </w:p>
    <w:p>
      <w:pPr>
        <w:spacing w:before="240" w:after="80"/>
      </w:pPr>
      <w:r>
        <w:rPr>
          <w:b/>
          <w:sz w:val="22"/>
        </w:rPr>
        <w:t>Event Content</w:t>
      </w:r>
    </w:p>
    <w:p>
      <w:pPr>
        <w:pStyle w:val="ListBullet"/>
        <w:ind w:left="360"/>
      </w:pPr>
      <w:r>
        <w:rPr>
          <w:sz w:val="22"/>
        </w:rPr>
        <w:t>Each event must include timestamp, event type, source, user or process, target, and outcome</w:t>
      </w:r>
    </w:p>
    <w:p>
      <w:pPr>
        <w:pStyle w:val="ListBullet"/>
        <w:ind w:left="360"/>
      </w:pPr>
      <w:r>
        <w:rPr>
          <w:sz w:val="22"/>
        </w:rPr>
        <w:t>Timestamps must be in UTC with sufficient precision</w:t>
      </w:r>
    </w:p>
    <w:p>
      <w:pPr>
        <w:pStyle w:val="ListBullet"/>
        <w:ind w:left="360"/>
      </w:pPr>
      <w:r>
        <w:rPr>
          <w:sz w:val="22"/>
        </w:rPr>
        <w:t>Sensitive data such as full credentials, full payment card numbers, or unmasked PII must not be logged</w:t>
      </w:r>
    </w:p>
    <w:p>
      <w:pPr>
        <w:spacing w:before="240" w:after="80"/>
      </w:pPr>
      <w:r>
        <w:rPr>
          <w:b/>
          <w:sz w:val="22"/>
        </w:rPr>
        <w:t>Log Forwarding</w:t>
      </w:r>
    </w:p>
    <w:p>
      <w:pPr>
        <w:pStyle w:val="ListBullet"/>
        <w:ind w:left="360"/>
      </w:pPr>
      <w:r>
        <w:rPr>
          <w:sz w:val="22"/>
        </w:rPr>
        <w:t>All log sources must forward to the central log management platform</w:t>
      </w:r>
    </w:p>
    <w:p>
      <w:pPr>
        <w:pStyle w:val="ListBullet"/>
        <w:ind w:left="360"/>
      </w:pPr>
      <w:r>
        <w:rPr>
          <w:sz w:val="22"/>
        </w:rPr>
        <w:t>Forwarding must use secure protocols and authenticated transport</w:t>
      </w:r>
    </w:p>
    <w:p>
      <w:pPr>
        <w:pStyle w:val="ListBullet"/>
        <w:ind w:left="360"/>
      </w:pPr>
      <w:r>
        <w:rPr>
          <w:sz w:val="22"/>
        </w:rPr>
        <w:t>Log feed health must be monitored</w:t>
      </w:r>
    </w:p>
    <w:p>
      <w:pPr>
        <w:spacing w:before="240" w:after="80"/>
      </w:pPr>
      <w:r>
        <w:rPr>
          <w:b/>
          <w:sz w:val="22"/>
        </w:rPr>
        <w:t>Storage and Retention</w:t>
      </w:r>
    </w:p>
    <w:p>
      <w:pPr>
        <w:pStyle w:val="ListBullet"/>
        <w:ind w:left="360"/>
      </w:pPr>
      <w:r>
        <w:rPr>
          <w:sz w:val="22"/>
        </w:rPr>
        <w:t>Logs must be retained per the Audit Log Retention Policy</w:t>
      </w:r>
    </w:p>
    <w:p>
      <w:pPr>
        <w:pStyle w:val="ListBullet"/>
        <w:ind w:left="360"/>
      </w:pPr>
      <w:r>
        <w:rPr>
          <w:sz w:val="22"/>
        </w:rPr>
        <w:t>Online storage must support search and analysis for the active investigation period</w:t>
      </w:r>
    </w:p>
    <w:p>
      <w:pPr>
        <w:pStyle w:val="ListBullet"/>
        <w:ind w:left="360"/>
      </w:pPr>
      <w:r>
        <w:rPr>
          <w:sz w:val="22"/>
        </w:rPr>
        <w:t>Cold storage must support long-term retention with retrieval procedures</w:t>
      </w:r>
    </w:p>
    <w:p>
      <w:pPr>
        <w:spacing w:before="240" w:after="80"/>
      </w:pPr>
      <w:r>
        <w:rPr>
          <w:b/>
          <w:sz w:val="22"/>
        </w:rPr>
        <w:t>Integrity Protection</w:t>
      </w:r>
    </w:p>
    <w:p>
      <w:pPr>
        <w:pStyle w:val="ListBullet"/>
        <w:ind w:left="360"/>
      </w:pPr>
      <w:r>
        <w:rPr>
          <w:sz w:val="22"/>
        </w:rPr>
        <w:t>Logs must be protected from modification through write-once or hashed storage where applicable</w:t>
      </w:r>
    </w:p>
    <w:p>
      <w:pPr>
        <w:pStyle w:val="ListBullet"/>
        <w:ind w:left="360"/>
      </w:pPr>
      <w:r>
        <w:rPr>
          <w:sz w:val="22"/>
        </w:rPr>
        <w:t>Access to log data must be restricted and logged</w:t>
      </w:r>
    </w:p>
    <w:p>
      <w:pPr>
        <w:pStyle w:val="ListBullet"/>
        <w:ind w:left="360"/>
      </w:pPr>
      <w:r>
        <w:rPr>
          <w:sz w:val="22"/>
        </w:rPr>
        <w:t>Tampering or gaps must trigger investigation</w:t>
      </w:r>
    </w:p>
    <w:p>
      <w:pPr>
        <w:spacing w:before="240" w:after="80"/>
      </w:pPr>
      <w:r>
        <w:rPr>
          <w:b/>
          <w:sz w:val="24"/>
        </w:rPr>
        <w:t>3.5  Roles and Responsibilities</w:t>
      </w:r>
    </w:p>
    <w:p>
      <w:pPr>
        <w:spacing w:before="80"/>
      </w:pPr>
      <w:r>
        <w:rPr>
          <w:b/>
          <w:sz w:val="22"/>
        </w:rPr>
        <w:t xml:space="preserve">System Owners: </w:t>
      </w:r>
      <w:r>
        <w:rPr>
          <w:sz w:val="22"/>
        </w:rPr>
        <w:t>Configure audit trails on their systems per this standard</w:t>
      </w:r>
    </w:p>
    <w:p>
      <w:pPr>
        <w:spacing w:before="80"/>
      </w:pPr>
      <w:r>
        <w:rPr>
          <w:b/>
          <w:sz w:val="22"/>
        </w:rPr>
        <w:t xml:space="preserve">Security Operations: </w:t>
      </w:r>
      <w:r>
        <w:rPr>
          <w:sz w:val="22"/>
        </w:rPr>
        <w:t>Operates the central log platform and reviews log feed health</w:t>
      </w:r>
    </w:p>
    <w:p>
      <w:pPr>
        <w:spacing w:before="80"/>
      </w:pPr>
      <w:r>
        <w:rPr>
          <w:b/>
          <w:sz w:val="22"/>
        </w:rPr>
        <w:t xml:space="preserve">Information Security Manager: </w:t>
      </w:r>
      <w:r>
        <w:rPr>
          <w:sz w:val="22"/>
        </w:rPr>
        <w:t>Maintains this standard</w:t>
      </w:r>
    </w:p>
    <w:p>
      <w:pPr>
        <w:spacing w:before="240" w:after="80"/>
      </w:pPr>
      <w:r>
        <w:rPr>
          <w:b/>
          <w:sz w:val="24"/>
        </w:rPr>
        <w:t>3.6  Related Documents</w:t>
      </w:r>
    </w:p>
    <w:p>
      <w:pPr>
        <w:pStyle w:val="ListBullet"/>
        <w:ind w:left="360"/>
      </w:pPr>
      <w:r>
        <w:rPr>
          <w:sz w:val="22"/>
        </w:rPr>
        <w:t>System Monitoring Procedure</w:t>
      </w:r>
    </w:p>
    <w:p>
      <w:pPr>
        <w:pStyle w:val="ListBullet"/>
        <w:ind w:left="360"/>
      </w:pPr>
      <w:r>
        <w:rPr>
          <w:sz w:val="22"/>
        </w:rPr>
        <w:t>Audit Log Template</w:t>
      </w:r>
    </w:p>
    <w:p>
      <w:pPr>
        <w:pStyle w:val="ListBullet"/>
        <w:ind w:left="360"/>
      </w:pPr>
      <w:r>
        <w:rPr>
          <w:sz w:val="22"/>
        </w:rPr>
        <w:t>Audit Log Retention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8.15 - Logging</w:t>
      </w:r>
    </w:p>
    <w:p>
      <w:pPr>
        <w:pStyle w:val="ListBullet"/>
        <w:ind w:left="360"/>
      </w:pPr>
      <w:r>
        <w:rPr>
          <w:sz w:val="22"/>
        </w:rPr>
        <w:t>8.33 - Protection of information systems during audit testing</w:t>
      </w:r>
    </w:p>
    <w:p>
      <w:pPr>
        <w:pStyle w:val="ListBullet"/>
        <w:ind w:left="360"/>
      </w:pPr>
      <w:r>
        <w:rPr>
          <w:sz w:val="22"/>
        </w:rPr>
        <w:t>8.16 - Monitoring activities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