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SUPPLIER SECURITY REQUIREMENTS ADDENDUM</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Supplier Security Requirements Addendum</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Supplier Security Requirements Addendum</w:t>
      </w:r>
    </w:p>
    <w:p>
      <w:pPr>
        <w:spacing w:before="240" w:after="80"/>
      </w:pPr>
      <w:r>
        <w:rPr>
          <w:b/>
          <w:sz w:val="24"/>
        </w:rPr>
        <w:t>3.1  Purpose</w:t>
      </w:r>
    </w:p>
    <w:p>
      <w:pPr>
        <w:spacing w:before="40" w:after="120" w:line="280" w:lineRule="exact"/>
      </w:pPr>
      <w:r>
        <w:rPr>
          <w:sz w:val="22"/>
        </w:rPr>
        <w:t>This addendum sets out the information security obligations that apply to the Supplier in connection with the services provided to the organisation. It is intended to be incorporated into the master agreement and to be read in conjunction with any applicable Data Processing Agreement.</w:t>
      </w:r>
    </w:p>
    <w:p>
      <w:pPr>
        <w:spacing w:before="240" w:after="80"/>
      </w:pPr>
      <w:r>
        <w:rPr>
          <w:b/>
          <w:sz w:val="24"/>
        </w:rPr>
        <w:t>3.2  Scope</w:t>
      </w:r>
    </w:p>
    <w:p>
      <w:pPr>
        <w:spacing w:before="40" w:after="120" w:line="280" w:lineRule="exact"/>
      </w:pPr>
      <w:r>
        <w:rPr>
          <w:sz w:val="22"/>
        </w:rPr>
        <w:t>This addendum applies to all suppliers that have access to organisational systems, data, or premises, or that provide services that could affect the security or availability of the organisation. The clauses should be tailored to the engagement and reviewed by Legal before execution.</w:t>
      </w:r>
    </w:p>
    <w:p>
      <w:pPr>
        <w:spacing w:before="240" w:after="80"/>
      </w:pPr>
      <w:r>
        <w:rPr>
          <w:b/>
          <w:sz w:val="24"/>
        </w:rPr>
        <w:t>3.3  Definitions</w:t>
      </w:r>
    </w:p>
    <w:p>
      <w:pPr>
        <w:spacing w:before="60" w:after="60"/>
      </w:pPr>
      <w:r>
        <w:rPr>
          <w:b/>
          <w:sz w:val="22"/>
        </w:rPr>
        <w:t xml:space="preserve">Supplier: </w:t>
      </w:r>
      <w:r>
        <w:rPr>
          <w:sz w:val="22"/>
        </w:rPr>
        <w:t>The legal entity providing services to the organisation under the Services Agreement</w:t>
      </w:r>
    </w:p>
    <w:p>
      <w:pPr>
        <w:spacing w:before="60" w:after="60"/>
      </w:pPr>
      <w:r>
        <w:rPr>
          <w:b/>
          <w:sz w:val="22"/>
        </w:rPr>
        <w:t xml:space="preserve">Organisational Data: </w:t>
      </w:r>
      <w:r>
        <w:rPr>
          <w:sz w:val="22"/>
        </w:rPr>
        <w:t>All data made available to the Supplier by or on behalf of the organisation, and any data created or derived in connection with the services</w:t>
      </w:r>
    </w:p>
    <w:p>
      <w:pPr>
        <w:spacing w:before="60" w:after="60"/>
      </w:pPr>
      <w:r>
        <w:rPr>
          <w:b/>
          <w:sz w:val="22"/>
        </w:rPr>
        <w:t xml:space="preserve">Sub-Contractor: </w:t>
      </w:r>
      <w:r>
        <w:rPr>
          <w:sz w:val="22"/>
        </w:rPr>
        <w:t>Any third party engaged by the Supplier to perform any portion of the services</w:t>
      </w:r>
    </w:p>
    <w:p>
      <w:pPr>
        <w:spacing w:before="60" w:after="60"/>
      </w:pPr>
      <w:r>
        <w:rPr>
          <w:b/>
          <w:sz w:val="22"/>
        </w:rPr>
        <w:t xml:space="preserve">Security Incident: </w:t>
      </w:r>
      <w:r>
        <w:rPr>
          <w:sz w:val="22"/>
        </w:rPr>
        <w:t>Any actual or suspected unauthorised access, disclosure, modification, loss, or destruction of Organisational Data, or compromise of systems used to process such data</w:t>
      </w:r>
    </w:p>
    <w:p>
      <w:pPr>
        <w:spacing w:before="240" w:after="80"/>
      </w:pPr>
      <w:r>
        <w:rPr>
          <w:b/>
          <w:sz w:val="24"/>
        </w:rPr>
        <w:t>3.4  Policy Requirements</w:t>
      </w:r>
    </w:p>
    <w:p>
      <w:pPr>
        <w:spacing w:before="240" w:after="80"/>
      </w:pPr>
      <w:r>
        <w:rPr>
          <w:b/>
          <w:sz w:val="22"/>
        </w:rPr>
        <w:t>Compliance with Standards</w:t>
      </w:r>
    </w:p>
    <w:p>
      <w:pPr>
        <w:pStyle w:val="ListBullet"/>
        <w:ind w:left="360"/>
      </w:pPr>
      <w:r>
        <w:rPr>
          <w:sz w:val="22"/>
        </w:rPr>
        <w:t>The Supplier must implement and maintain an information security programme aligned with ISO/IEC 27001:2022 or an equivalent recognised standard</w:t>
      </w:r>
    </w:p>
    <w:p>
      <w:pPr>
        <w:pStyle w:val="ListBullet"/>
        <w:ind w:left="360"/>
      </w:pPr>
      <w:r>
        <w:rPr>
          <w:sz w:val="22"/>
        </w:rPr>
        <w:t>The Supplier must comply with all laws and regulations applicable to the services and Organisational Data</w:t>
      </w:r>
    </w:p>
    <w:p>
      <w:pPr>
        <w:pStyle w:val="ListBullet"/>
        <w:ind w:left="360"/>
      </w:pPr>
      <w:r>
        <w:rPr>
          <w:sz w:val="22"/>
        </w:rPr>
        <w:t>The Supplier must comply with all reasonable security policies of the organisation made available to it</w:t>
      </w:r>
    </w:p>
    <w:p>
      <w:pPr>
        <w:spacing w:before="240" w:after="80"/>
      </w:pPr>
      <w:r>
        <w:rPr>
          <w:b/>
          <w:sz w:val="22"/>
        </w:rPr>
        <w:t>Personnel Security</w:t>
      </w:r>
    </w:p>
    <w:p>
      <w:pPr>
        <w:pStyle w:val="ListBullet"/>
        <w:ind w:left="360"/>
      </w:pPr>
      <w:r>
        <w:rPr>
          <w:sz w:val="22"/>
        </w:rPr>
        <w:t>The Supplier must conduct background screening of personnel with access to Organisational Data, to a standard appropriate to the role</w:t>
      </w:r>
    </w:p>
    <w:p>
      <w:pPr>
        <w:pStyle w:val="ListBullet"/>
        <w:ind w:left="360"/>
      </w:pPr>
      <w:r>
        <w:rPr>
          <w:sz w:val="22"/>
        </w:rPr>
        <w:t>Personnel must be subject to written confidentiality obligations</w:t>
      </w:r>
    </w:p>
    <w:p>
      <w:pPr>
        <w:pStyle w:val="ListBullet"/>
        <w:ind w:left="360"/>
      </w:pPr>
      <w:r>
        <w:rPr>
          <w:sz w:val="22"/>
        </w:rPr>
        <w:t>Personnel must complete information security and data protection training appropriate to their role</w:t>
      </w:r>
    </w:p>
    <w:p>
      <w:pPr>
        <w:spacing w:before="240" w:after="80"/>
      </w:pPr>
      <w:r>
        <w:rPr>
          <w:b/>
          <w:sz w:val="22"/>
        </w:rPr>
        <w:t>Access Control</w:t>
      </w:r>
    </w:p>
    <w:p>
      <w:pPr>
        <w:pStyle w:val="ListBullet"/>
        <w:ind w:left="360"/>
      </w:pPr>
      <w:r>
        <w:rPr>
          <w:sz w:val="22"/>
        </w:rPr>
        <w:t>Access to Organisational Data and systems must be granted on a least-privilege basis with multi-factor authentication for remote and privileged access</w:t>
      </w:r>
    </w:p>
    <w:p>
      <w:pPr>
        <w:pStyle w:val="ListBullet"/>
        <w:ind w:left="360"/>
      </w:pPr>
      <w:r>
        <w:rPr>
          <w:sz w:val="22"/>
        </w:rPr>
        <w:t>Access must be reviewed at least quarterly and revoked promptly when no longer required</w:t>
      </w:r>
    </w:p>
    <w:p>
      <w:pPr>
        <w:pStyle w:val="ListBullet"/>
        <w:ind w:left="360"/>
      </w:pPr>
      <w:r>
        <w:rPr>
          <w:sz w:val="22"/>
        </w:rPr>
        <w:t>Privileged access must be logged and monitored</w:t>
      </w:r>
    </w:p>
    <w:p>
      <w:pPr>
        <w:spacing w:before="240" w:after="80"/>
      </w:pPr>
      <w:r>
        <w:rPr>
          <w:b/>
          <w:sz w:val="22"/>
        </w:rPr>
        <w:t>Data Protection</w:t>
      </w:r>
    </w:p>
    <w:p>
      <w:pPr>
        <w:pStyle w:val="ListBullet"/>
        <w:ind w:left="360"/>
      </w:pPr>
      <w:r>
        <w:rPr>
          <w:sz w:val="22"/>
        </w:rPr>
        <w:t>Organisational Data must be encrypted in transit and at rest using approved cryptographic standards</w:t>
      </w:r>
    </w:p>
    <w:p>
      <w:pPr>
        <w:pStyle w:val="ListBullet"/>
        <w:ind w:left="360"/>
      </w:pPr>
      <w:r>
        <w:rPr>
          <w:sz w:val="22"/>
        </w:rPr>
        <w:t>Organisational Data must be segregated from data of other customers</w:t>
      </w:r>
    </w:p>
    <w:p>
      <w:pPr>
        <w:pStyle w:val="ListBullet"/>
        <w:ind w:left="360"/>
      </w:pPr>
      <w:r>
        <w:rPr>
          <w:sz w:val="22"/>
        </w:rPr>
        <w:t>Organisational Data must not be used for any purpose other than provision of the services</w:t>
      </w:r>
    </w:p>
    <w:p>
      <w:pPr>
        <w:spacing w:before="240" w:after="80"/>
      </w:pPr>
      <w:r>
        <w:rPr>
          <w:b/>
          <w:sz w:val="22"/>
        </w:rPr>
        <w:t>Operational Security</w:t>
      </w:r>
    </w:p>
    <w:p>
      <w:pPr>
        <w:pStyle w:val="ListBullet"/>
        <w:ind w:left="360"/>
      </w:pPr>
      <w:r>
        <w:rPr>
          <w:sz w:val="22"/>
        </w:rPr>
        <w:t>Vulnerability and patch management programmes must be in place with timely application of security patches</w:t>
      </w:r>
    </w:p>
    <w:p>
      <w:pPr>
        <w:pStyle w:val="ListBullet"/>
        <w:ind w:left="360"/>
      </w:pPr>
      <w:r>
        <w:rPr>
          <w:sz w:val="22"/>
        </w:rPr>
        <w:t>Endpoint and network protection must be maintained</w:t>
      </w:r>
    </w:p>
    <w:p>
      <w:pPr>
        <w:pStyle w:val="ListBullet"/>
        <w:ind w:left="360"/>
      </w:pPr>
      <w:r>
        <w:rPr>
          <w:sz w:val="22"/>
        </w:rPr>
        <w:t>Configuration baselines must be applied and audited</w:t>
      </w:r>
    </w:p>
    <w:p>
      <w:pPr>
        <w:pStyle w:val="ListBullet"/>
        <w:ind w:left="360"/>
      </w:pPr>
      <w:r>
        <w:rPr>
          <w:sz w:val="22"/>
        </w:rPr>
        <w:t>Backups must be taken and tested</w:t>
      </w:r>
    </w:p>
    <w:p>
      <w:pPr>
        <w:spacing w:before="240" w:after="80"/>
      </w:pPr>
      <w:r>
        <w:rPr>
          <w:b/>
          <w:sz w:val="22"/>
        </w:rPr>
        <w:t>Logging and Monitoring</w:t>
      </w:r>
    </w:p>
    <w:p>
      <w:pPr>
        <w:pStyle w:val="ListBullet"/>
        <w:ind w:left="360"/>
      </w:pPr>
      <w:r>
        <w:rPr>
          <w:sz w:val="22"/>
        </w:rPr>
        <w:t>Security-relevant events must be logged and monitored</w:t>
      </w:r>
    </w:p>
    <w:p>
      <w:pPr>
        <w:pStyle w:val="ListBullet"/>
        <w:ind w:left="360"/>
      </w:pPr>
      <w:r>
        <w:rPr>
          <w:sz w:val="22"/>
        </w:rPr>
        <w:t>Logs must be retained for the period required by law and contract</w:t>
      </w:r>
    </w:p>
    <w:p>
      <w:pPr>
        <w:spacing w:before="240" w:after="80"/>
      </w:pPr>
      <w:r>
        <w:rPr>
          <w:b/>
          <w:sz w:val="22"/>
        </w:rPr>
        <w:t>Incident Management</w:t>
      </w:r>
    </w:p>
    <w:p>
      <w:pPr>
        <w:pStyle w:val="ListBullet"/>
        <w:ind w:left="360"/>
      </w:pPr>
      <w:r>
        <w:rPr>
          <w:sz w:val="22"/>
        </w:rPr>
        <w:t>Security Incidents must be notified to the organisation without undue delay and in any event within 24 hours of discovery</w:t>
      </w:r>
    </w:p>
    <w:p>
      <w:pPr>
        <w:pStyle w:val="ListBullet"/>
        <w:ind w:left="360"/>
      </w:pPr>
      <w:r>
        <w:rPr>
          <w:sz w:val="22"/>
        </w:rPr>
        <w:t>The Supplier must cooperate fully in incident investigation, containment, and remediation</w:t>
      </w:r>
    </w:p>
    <w:p>
      <w:pPr>
        <w:pStyle w:val="ListBullet"/>
        <w:ind w:left="360"/>
      </w:pPr>
      <w:r>
        <w:rPr>
          <w:sz w:val="22"/>
        </w:rPr>
        <w:t>Root cause analysis and remediation evidence must be provided to the organisation</w:t>
      </w:r>
    </w:p>
    <w:p>
      <w:pPr>
        <w:spacing w:before="240" w:after="80"/>
      </w:pPr>
      <w:r>
        <w:rPr>
          <w:b/>
          <w:sz w:val="22"/>
        </w:rPr>
        <w:t>Sub-Contracting</w:t>
      </w:r>
    </w:p>
    <w:p>
      <w:pPr>
        <w:pStyle w:val="ListBullet"/>
        <w:ind w:left="360"/>
      </w:pPr>
      <w:r>
        <w:rPr>
          <w:sz w:val="22"/>
        </w:rPr>
        <w:t>Sub-Contractors with access to Organisational Data may be engaged only with prior written approval</w:t>
      </w:r>
    </w:p>
    <w:p>
      <w:pPr>
        <w:pStyle w:val="ListBullet"/>
        <w:ind w:left="360"/>
      </w:pPr>
      <w:r>
        <w:rPr>
          <w:sz w:val="22"/>
        </w:rPr>
        <w:t>Sub-Contractors must be subject to obligations equivalent to those in this addendum</w:t>
      </w:r>
    </w:p>
    <w:p>
      <w:pPr>
        <w:pStyle w:val="ListBullet"/>
        <w:ind w:left="360"/>
      </w:pPr>
      <w:r>
        <w:rPr>
          <w:sz w:val="22"/>
        </w:rPr>
        <w:t>The Supplier remains liable for the acts and omissions of its Sub-Contractors</w:t>
      </w:r>
    </w:p>
    <w:p>
      <w:pPr>
        <w:spacing w:before="240" w:after="80"/>
      </w:pPr>
      <w:r>
        <w:rPr>
          <w:b/>
          <w:sz w:val="22"/>
        </w:rPr>
        <w:t>Audit and Assurance</w:t>
      </w:r>
    </w:p>
    <w:p>
      <w:pPr>
        <w:pStyle w:val="ListBullet"/>
        <w:ind w:left="360"/>
      </w:pPr>
      <w:r>
        <w:rPr>
          <w:sz w:val="22"/>
        </w:rPr>
        <w:t>The organisation has the right to audit the Supplier's compliance with this addendum on reasonable notice</w:t>
      </w:r>
    </w:p>
    <w:p>
      <w:pPr>
        <w:pStyle w:val="ListBullet"/>
        <w:ind w:left="360"/>
      </w:pPr>
      <w:r>
        <w:rPr>
          <w:sz w:val="22"/>
        </w:rPr>
        <w:t>Independent third-party audit reports (such as ISO 27001 certificates and SOC 2 reports) may be relied upon where appropriate and made available to the organisation</w:t>
      </w:r>
    </w:p>
    <w:p>
      <w:pPr>
        <w:pStyle w:val="ListBullet"/>
        <w:ind w:left="360"/>
      </w:pPr>
      <w:r>
        <w:rPr>
          <w:sz w:val="22"/>
        </w:rPr>
        <w:t>The Supplier must provide reasonable assistance and access for audits and assessments</w:t>
      </w:r>
    </w:p>
    <w:p>
      <w:pPr>
        <w:spacing w:before="240" w:after="80"/>
      </w:pPr>
      <w:r>
        <w:rPr>
          <w:b/>
          <w:sz w:val="22"/>
        </w:rPr>
        <w:t>Termination and Return of Data</w:t>
      </w:r>
    </w:p>
    <w:p>
      <w:pPr>
        <w:pStyle w:val="ListBullet"/>
        <w:ind w:left="360"/>
      </w:pPr>
      <w:r>
        <w:rPr>
          <w:sz w:val="22"/>
        </w:rPr>
        <w:t>On termination, the Supplier must return or securely destroy all Organisational Data and provide written confirmation</w:t>
      </w:r>
    </w:p>
    <w:p>
      <w:pPr>
        <w:pStyle w:val="ListBullet"/>
        <w:ind w:left="360"/>
      </w:pPr>
      <w:r>
        <w:rPr>
          <w:sz w:val="22"/>
        </w:rPr>
        <w:t>Transition assistance must be provided to support migration to a successor or to the organisation</w:t>
      </w:r>
    </w:p>
    <w:p>
      <w:pPr>
        <w:spacing w:before="240" w:after="80"/>
      </w:pPr>
      <w:r>
        <w:rPr>
          <w:b/>
          <w:sz w:val="22"/>
        </w:rPr>
        <w:t>Liability and Insurance</w:t>
      </w:r>
    </w:p>
    <w:p>
      <w:pPr>
        <w:pStyle w:val="ListBullet"/>
        <w:ind w:left="360"/>
      </w:pPr>
      <w:r>
        <w:rPr>
          <w:sz w:val="22"/>
        </w:rPr>
        <w:t>The Supplier must maintain appropriate insurance coverage including cyber and professional liability</w:t>
      </w:r>
    </w:p>
    <w:p>
      <w:pPr>
        <w:pStyle w:val="ListBullet"/>
        <w:ind w:left="360"/>
      </w:pPr>
      <w:r>
        <w:rPr>
          <w:sz w:val="22"/>
        </w:rPr>
        <w:t>Liability for breach of security obligations is governed by the Services Agreement</w:t>
      </w:r>
    </w:p>
    <w:p>
      <w:pPr>
        <w:spacing w:before="240" w:after="80"/>
      </w:pPr>
      <w:r>
        <w:rPr>
          <w:b/>
          <w:sz w:val="24"/>
        </w:rPr>
        <w:t>3.5  Roles and Responsibilities</w:t>
      </w:r>
    </w:p>
    <w:p>
      <w:pPr>
        <w:spacing w:before="80"/>
      </w:pPr>
      <w:r>
        <w:rPr>
          <w:b/>
          <w:sz w:val="22"/>
        </w:rPr>
        <w:t xml:space="preserve">Organisation: </w:t>
      </w:r>
      <w:r>
        <w:rPr>
          <w:sz w:val="22"/>
        </w:rPr>
        <w:t>Sets requirements and assesses compliance</w:t>
      </w:r>
    </w:p>
    <w:p>
      <w:pPr>
        <w:spacing w:before="80"/>
      </w:pPr>
      <w:r>
        <w:rPr>
          <w:b/>
          <w:sz w:val="22"/>
        </w:rPr>
        <w:t xml:space="preserve">Supplier: </w:t>
      </w:r>
      <w:r>
        <w:rPr>
          <w:sz w:val="22"/>
        </w:rPr>
        <w:t>Implements and operates controls in compliance with this addendum</w:t>
      </w:r>
    </w:p>
    <w:p>
      <w:pPr>
        <w:spacing w:before="80"/>
      </w:pPr>
      <w:r>
        <w:rPr>
          <w:b/>
          <w:sz w:val="22"/>
        </w:rPr>
        <w:t xml:space="preserve">Procurement: </w:t>
      </w:r>
      <w:r>
        <w:rPr>
          <w:sz w:val="22"/>
        </w:rPr>
        <w:t>Includes this addendum in supplier contracts</w:t>
      </w:r>
    </w:p>
    <w:p>
      <w:pPr>
        <w:spacing w:before="80"/>
      </w:pPr>
      <w:r>
        <w:rPr>
          <w:b/>
          <w:sz w:val="22"/>
        </w:rPr>
        <w:t xml:space="preserve">Information Security Manager: </w:t>
      </w:r>
      <w:r>
        <w:rPr>
          <w:sz w:val="22"/>
        </w:rPr>
        <w:t>Maintains this addendum and approves variations</w:t>
      </w:r>
    </w:p>
    <w:p>
      <w:pPr>
        <w:spacing w:before="240" w:after="80"/>
      </w:pPr>
      <w:r>
        <w:rPr>
          <w:b/>
          <w:sz w:val="24"/>
        </w:rPr>
        <w:t>3.6  Related Documents</w:t>
      </w:r>
    </w:p>
    <w:p>
      <w:pPr>
        <w:pStyle w:val="ListBullet"/>
        <w:ind w:left="360"/>
      </w:pPr>
      <w:r>
        <w:rPr>
          <w:sz w:val="22"/>
        </w:rPr>
        <w:t>Third-Party Supplier Security Policy</w:t>
      </w:r>
    </w:p>
    <w:p>
      <w:pPr>
        <w:pStyle w:val="ListBullet"/>
        <w:ind w:left="360"/>
      </w:pPr>
      <w:r>
        <w:rPr>
          <w:sz w:val="22"/>
        </w:rPr>
        <w:t>Data Processing Agreement</w:t>
      </w:r>
    </w:p>
    <w:p>
      <w:pPr>
        <w:pStyle w:val="ListBullet"/>
        <w:ind w:left="360"/>
      </w:pPr>
      <w:r>
        <w:rPr>
          <w:sz w:val="22"/>
        </w:rPr>
        <w:t>Vendor Risk Management Procedure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5.20 - Addressing information security within supplier agreements</w:t>
      </w:r>
    </w:p>
    <w:p>
      <w:pPr>
        <w:pStyle w:val="ListBullet"/>
        <w:ind w:left="360"/>
      </w:pPr>
      <w:r>
        <w:rPr>
          <w:sz w:val="22"/>
        </w:rPr>
        <w:t>5.19 - Information security in supplier relationships</w:t>
      </w:r>
    </w:p>
    <w:p>
      <w:pPr>
        <w:pStyle w:val="ListBullet"/>
        <w:ind w:left="360"/>
      </w:pPr>
      <w:r>
        <w:rPr>
          <w:sz w:val="22"/>
        </w:rPr>
        <w:t>5.21 - Managing information security in the ICT supply chain</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