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PROCESSING AGREEMENT (DPA) TEMPLATE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Processing Agreement (DPA) Template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Processing Agreement (DPA) Template</w:t>
      </w:r>
    </w:p>
    <w:p>
      <w:pPr>
        <w:spacing w:before="240" w:after="80"/>
      </w:pPr>
      <w:r>
        <w:rPr>
          <w:b/>
          <w:sz w:val="24"/>
        </w:rPr>
        <w:t>3.1  Purpose</w:t>
      </w:r>
    </w:p>
    <w:p>
      <w:pPr>
        <w:spacing w:before="40" w:after="120" w:line="280" w:lineRule="exact"/>
      </w:pPr>
      <w:r>
        <w:rPr>
          <w:sz w:val="22"/>
        </w:rPr>
        <w:t>This Data Processing Agreement (DPA) sets out the terms under which a processor will process personal data on behalf of the controller. It is intended to be appended to or incorporated by reference into the main services agreement between the parties and to satisfy obligations under applicable data protection law including GDPR, UK DPA, and equivalent legislation.</w:t>
      </w:r>
    </w:p>
    <w:p>
      <w:pPr>
        <w:spacing w:before="240" w:after="80"/>
      </w:pPr>
      <w:r>
        <w:rPr>
          <w:b/>
          <w:sz w:val="24"/>
        </w:rPr>
        <w:t>3.2  Scope</w:t>
      </w:r>
    </w:p>
    <w:p>
      <w:pPr>
        <w:spacing w:before="40" w:after="120" w:line="280" w:lineRule="exact"/>
      </w:pPr>
      <w:r>
        <w:rPr>
          <w:sz w:val="22"/>
        </w:rPr>
        <w:t>This template applies to engagements in which a third-party processes personal data on behalf of the organisation as controller. The terms should be tailored to the specific engagement and reviewed by Legal before execution.</w:t>
      </w:r>
    </w:p>
    <w:p>
      <w:pPr>
        <w:spacing w:before="240" w:after="80"/>
      </w:pPr>
      <w:r>
        <w:rPr>
          <w:b/>
          <w:sz w:val="24"/>
        </w:rPr>
        <w:t>3.3  Definitions</w:t>
      </w:r>
    </w:p>
    <w:p>
      <w:pPr>
        <w:spacing w:before="60" w:after="60"/>
      </w:pPr>
      <w:r>
        <w:rPr>
          <w:b/>
          <w:sz w:val="22"/>
        </w:rPr>
        <w:t xml:space="preserve">Controller: </w:t>
      </w:r>
      <w:r>
        <w:rPr>
          <w:sz w:val="22"/>
        </w:rPr>
        <w:t>The party that determines the purposes and means of processing personal data</w:t>
      </w:r>
    </w:p>
    <w:p>
      <w:pPr>
        <w:spacing w:before="60" w:after="60"/>
      </w:pPr>
      <w:r>
        <w:rPr>
          <w:b/>
          <w:sz w:val="22"/>
        </w:rPr>
        <w:t xml:space="preserve">Processor: </w:t>
      </w:r>
      <w:r>
        <w:rPr>
          <w:sz w:val="22"/>
        </w:rPr>
        <w:t>The party that processes personal data on behalf of the controller</w:t>
      </w:r>
    </w:p>
    <w:p>
      <w:pPr>
        <w:spacing w:before="60" w:after="60"/>
      </w:pPr>
      <w:r>
        <w:rPr>
          <w:b/>
          <w:sz w:val="22"/>
        </w:rPr>
        <w:t xml:space="preserve">Sub-Processor: </w:t>
      </w:r>
      <w:r>
        <w:rPr>
          <w:sz w:val="22"/>
        </w:rPr>
        <w:t>A third party engaged by the processor to process personal data</w:t>
      </w:r>
    </w:p>
    <w:p>
      <w:pPr>
        <w:spacing w:before="60" w:after="60"/>
      </w:pPr>
      <w:r>
        <w:rPr>
          <w:b/>
          <w:sz w:val="22"/>
        </w:rPr>
        <w:t xml:space="preserve">Personal Data Breach: </w:t>
      </w:r>
      <w:r>
        <w:rPr>
          <w:sz w:val="22"/>
        </w:rPr>
        <w:t>A breach of security leading to accidental or unlawful destruction, loss, alteration, unauthorised disclosure of, or access to, personal data</w:t>
      </w:r>
    </w:p>
    <w:p>
      <w:pPr>
        <w:spacing w:before="60" w:after="60"/>
      </w:pPr>
      <w:r>
        <w:rPr>
          <w:b/>
          <w:sz w:val="22"/>
        </w:rPr>
        <w:t xml:space="preserve">Standard Contractual Clauses (SCCs): </w:t>
      </w:r>
      <w:r>
        <w:rPr>
          <w:sz w:val="22"/>
        </w:rPr>
        <w:t>Pre-approved contract clauses for international transfers of personal data</w:t>
      </w:r>
    </w:p>
    <w:p>
      <w:pPr>
        <w:spacing w:before="240" w:after="80"/>
      </w:pPr>
      <w:r>
        <w:rPr>
          <w:b/>
          <w:sz w:val="24"/>
        </w:rPr>
        <w:t>3.4  Policy Requirements</w:t>
      </w:r>
    </w:p>
    <w:p>
      <w:pPr>
        <w:spacing w:before="240" w:after="80"/>
      </w:pPr>
      <w:r>
        <w:rPr>
          <w:b/>
          <w:sz w:val="22"/>
        </w:rPr>
        <w:t>Subject Matter, Duration, Nature, and Purpose</w:t>
      </w:r>
    </w:p>
    <w:p>
      <w:pPr>
        <w:pStyle w:val="ListBullet"/>
        <w:ind w:left="360"/>
      </w:pPr>
      <w:r>
        <w:rPr>
          <w:sz w:val="22"/>
        </w:rPr>
        <w:t>Subject matter: as described in the Services Schedule</w:t>
      </w:r>
    </w:p>
    <w:p>
      <w:pPr>
        <w:pStyle w:val="ListBullet"/>
        <w:ind w:left="360"/>
      </w:pPr>
      <w:r>
        <w:rPr>
          <w:sz w:val="22"/>
        </w:rPr>
        <w:t>Duration: for the term of the Services Agreement and any data retention period thereafter</w:t>
      </w:r>
    </w:p>
    <w:p>
      <w:pPr>
        <w:pStyle w:val="ListBullet"/>
        <w:ind w:left="360"/>
      </w:pPr>
      <w:r>
        <w:rPr>
          <w:sz w:val="22"/>
        </w:rPr>
        <w:t>Nature and purpose: provision of services as described, including any necessary data hosting, processing, and support</w:t>
      </w:r>
    </w:p>
    <w:p>
      <w:pPr>
        <w:pStyle w:val="ListBullet"/>
        <w:ind w:left="360"/>
      </w:pPr>
      <w:r>
        <w:rPr>
          <w:sz w:val="22"/>
        </w:rPr>
        <w:t>Categories of data subjects and personal data: as described in the Data Schedule attached</w:t>
      </w:r>
    </w:p>
    <w:p>
      <w:pPr>
        <w:spacing w:before="240" w:after="80"/>
      </w:pPr>
      <w:r>
        <w:rPr>
          <w:b/>
          <w:sz w:val="22"/>
        </w:rPr>
        <w:t>Processor Obligations</w:t>
      </w:r>
    </w:p>
    <w:p>
      <w:pPr>
        <w:pStyle w:val="ListBullet"/>
        <w:ind w:left="360"/>
      </w:pPr>
      <w:r>
        <w:rPr>
          <w:sz w:val="22"/>
        </w:rPr>
        <w:t>Process personal data only on documented instructions of the Controller</w:t>
      </w:r>
    </w:p>
    <w:p>
      <w:pPr>
        <w:pStyle w:val="ListBullet"/>
        <w:ind w:left="360"/>
      </w:pPr>
      <w:r>
        <w:rPr>
          <w:sz w:val="22"/>
        </w:rPr>
        <w:t>Ensure that persons authorised to process personal data are bound by confidentiality</w:t>
      </w:r>
    </w:p>
    <w:p>
      <w:pPr>
        <w:pStyle w:val="ListBullet"/>
        <w:ind w:left="360"/>
      </w:pPr>
      <w:r>
        <w:rPr>
          <w:sz w:val="22"/>
        </w:rPr>
        <w:t>Implement appropriate technical and organisational measures to ensure security of processing</w:t>
      </w:r>
    </w:p>
    <w:p>
      <w:pPr>
        <w:pStyle w:val="ListBullet"/>
        <w:ind w:left="360"/>
      </w:pPr>
      <w:r>
        <w:rPr>
          <w:sz w:val="22"/>
        </w:rPr>
        <w:t>Assist the Controller in fulfilling obligations to respond to data subject rights requests</w:t>
      </w:r>
    </w:p>
    <w:p>
      <w:pPr>
        <w:pStyle w:val="ListBullet"/>
        <w:ind w:left="360"/>
      </w:pPr>
      <w:r>
        <w:rPr>
          <w:sz w:val="22"/>
        </w:rPr>
        <w:t>Assist the Controller in ensuring compliance with security, breach notification, DPIA, and consultation obligations</w:t>
      </w:r>
    </w:p>
    <w:p>
      <w:pPr>
        <w:pStyle w:val="ListBullet"/>
        <w:ind w:left="360"/>
      </w:pPr>
      <w:r>
        <w:rPr>
          <w:sz w:val="22"/>
        </w:rPr>
        <w:t>Make available all information necessary to demonstrate compliance and contribute to audits</w:t>
      </w:r>
    </w:p>
    <w:p>
      <w:pPr>
        <w:pStyle w:val="ListBullet"/>
        <w:ind w:left="360"/>
      </w:pPr>
      <w:r>
        <w:rPr>
          <w:sz w:val="22"/>
        </w:rPr>
        <w:t>Notify the Controller without undue delay of any personal data breach</w:t>
      </w:r>
    </w:p>
    <w:p>
      <w:pPr>
        <w:spacing w:before="240" w:after="80"/>
      </w:pPr>
      <w:r>
        <w:rPr>
          <w:b/>
          <w:sz w:val="22"/>
        </w:rPr>
        <w:t>Sub-Processors</w:t>
      </w:r>
    </w:p>
    <w:p>
      <w:pPr>
        <w:pStyle w:val="ListBullet"/>
        <w:ind w:left="360"/>
      </w:pPr>
      <w:r>
        <w:rPr>
          <w:sz w:val="22"/>
        </w:rPr>
        <w:t>Sub-processors may be engaged only with prior written authorisation, which may be specific or general</w:t>
      </w:r>
    </w:p>
    <w:p>
      <w:pPr>
        <w:pStyle w:val="ListBullet"/>
        <w:ind w:left="360"/>
      </w:pPr>
      <w:r>
        <w:rPr>
          <w:sz w:val="22"/>
        </w:rPr>
        <w:t>The Processor must impose obligations on sub-processors equivalent to those in this DPA</w:t>
      </w:r>
    </w:p>
    <w:p>
      <w:pPr>
        <w:pStyle w:val="ListBullet"/>
        <w:ind w:left="360"/>
      </w:pPr>
      <w:r>
        <w:rPr>
          <w:sz w:val="22"/>
        </w:rPr>
        <w:t>The Processor remains liable for the acts and omissions of its sub-processors</w:t>
      </w:r>
    </w:p>
    <w:p>
      <w:pPr>
        <w:pStyle w:val="ListBullet"/>
        <w:ind w:left="360"/>
      </w:pPr>
      <w:r>
        <w:rPr>
          <w:sz w:val="22"/>
        </w:rPr>
        <w:t>A current list of sub-processors must be maintained and made available to the Controller</w:t>
      </w:r>
    </w:p>
    <w:p>
      <w:pPr>
        <w:spacing w:before="240" w:after="80"/>
      </w:pPr>
      <w:r>
        <w:rPr>
          <w:b/>
          <w:sz w:val="22"/>
        </w:rPr>
        <w:t>Security Measures</w:t>
      </w:r>
    </w:p>
    <w:p>
      <w:pPr>
        <w:pStyle w:val="ListBullet"/>
        <w:ind w:left="360"/>
      </w:pPr>
      <w:r>
        <w:rPr>
          <w:sz w:val="22"/>
        </w:rPr>
        <w:t>Encryption of personal data in transit and at rest</w:t>
      </w:r>
    </w:p>
    <w:p>
      <w:pPr>
        <w:pStyle w:val="ListBullet"/>
        <w:ind w:left="360"/>
      </w:pPr>
      <w:r>
        <w:rPr>
          <w:sz w:val="22"/>
        </w:rPr>
        <w:t>Ability to ensure ongoing confidentiality, integrity, availability, and resilience of processing systems</w:t>
      </w:r>
    </w:p>
    <w:p>
      <w:pPr>
        <w:pStyle w:val="ListBullet"/>
        <w:ind w:left="360"/>
      </w:pPr>
      <w:r>
        <w:rPr>
          <w:sz w:val="22"/>
        </w:rPr>
        <w:t>Ability to restore availability and access to personal data in a timely manner in the event of an incident</w:t>
      </w:r>
    </w:p>
    <w:p>
      <w:pPr>
        <w:pStyle w:val="ListBullet"/>
        <w:ind w:left="360"/>
      </w:pPr>
      <w:r>
        <w:rPr>
          <w:sz w:val="22"/>
        </w:rPr>
        <w:t>Process for regularly testing, assessing, and evaluating the effectiveness of measures</w:t>
      </w:r>
    </w:p>
    <w:p>
      <w:pPr>
        <w:pStyle w:val="ListBullet"/>
        <w:ind w:left="360"/>
      </w:pPr>
      <w:r>
        <w:rPr>
          <w:sz w:val="22"/>
        </w:rPr>
        <w:t>Specific measures detailed in the Security Schedule attached to this DPA</w:t>
      </w:r>
    </w:p>
    <w:p>
      <w:pPr>
        <w:spacing w:before="240" w:after="80"/>
      </w:pPr>
      <w:r>
        <w:rPr>
          <w:b/>
          <w:sz w:val="22"/>
        </w:rPr>
        <w:t>Breach Notification</w:t>
      </w:r>
    </w:p>
    <w:p>
      <w:pPr>
        <w:pStyle w:val="ListBullet"/>
        <w:ind w:left="360"/>
      </w:pPr>
      <w:r>
        <w:rPr>
          <w:sz w:val="22"/>
        </w:rPr>
        <w:t>Notification to the Controller within 24 hours of becoming aware of a personal data breach</w:t>
      </w:r>
    </w:p>
    <w:p>
      <w:pPr>
        <w:pStyle w:val="ListBullet"/>
        <w:ind w:left="360"/>
      </w:pPr>
      <w:r>
        <w:rPr>
          <w:sz w:val="22"/>
        </w:rPr>
        <w:t>Notification to include the nature of the breach, categories and approximate number of data subjects, likely consequences, and measures taken</w:t>
      </w:r>
    </w:p>
    <w:p>
      <w:pPr>
        <w:pStyle w:val="ListBullet"/>
        <w:ind w:left="360"/>
      </w:pPr>
      <w:r>
        <w:rPr>
          <w:sz w:val="22"/>
        </w:rPr>
        <w:t>Cooperation in subsequent investigation and notifications to supervisory authorities and data subjects</w:t>
      </w:r>
    </w:p>
    <w:p>
      <w:pPr>
        <w:spacing w:before="240" w:after="80"/>
      </w:pPr>
      <w:r>
        <w:rPr>
          <w:b/>
          <w:sz w:val="22"/>
        </w:rPr>
        <w:t>International Transfers</w:t>
      </w:r>
    </w:p>
    <w:p>
      <w:pPr>
        <w:pStyle w:val="ListBullet"/>
        <w:ind w:left="360"/>
      </w:pPr>
      <w:r>
        <w:rPr>
          <w:sz w:val="22"/>
        </w:rPr>
        <w:t>Transfers of personal data outside the country of origin only with appropriate safeguards in place</w:t>
      </w:r>
    </w:p>
    <w:p>
      <w:pPr>
        <w:pStyle w:val="ListBullet"/>
        <w:ind w:left="360"/>
      </w:pPr>
      <w:r>
        <w:rPr>
          <w:sz w:val="22"/>
        </w:rPr>
        <w:t>Where required, the parties enter into the Standard Contractual Clauses incorporated by reference</w:t>
      </w:r>
    </w:p>
    <w:p>
      <w:pPr>
        <w:pStyle w:val="ListBullet"/>
        <w:ind w:left="360"/>
      </w:pPr>
      <w:r>
        <w:rPr>
          <w:sz w:val="22"/>
        </w:rPr>
        <w:t>Transfer Impact Assessments to be conducted where required by applicable law</w:t>
      </w:r>
    </w:p>
    <w:p>
      <w:pPr>
        <w:spacing w:before="240" w:after="80"/>
      </w:pPr>
      <w:r>
        <w:rPr>
          <w:b/>
          <w:sz w:val="22"/>
        </w:rPr>
        <w:t>Audit Rights</w:t>
      </w:r>
    </w:p>
    <w:p>
      <w:pPr>
        <w:pStyle w:val="ListBullet"/>
        <w:ind w:left="360"/>
      </w:pPr>
      <w:r>
        <w:rPr>
          <w:sz w:val="22"/>
        </w:rPr>
        <w:t>The Controller has the right to audit the Processor's compliance with this DPA</w:t>
      </w:r>
    </w:p>
    <w:p>
      <w:pPr>
        <w:pStyle w:val="ListBullet"/>
        <w:ind w:left="360"/>
      </w:pPr>
      <w:r>
        <w:rPr>
          <w:sz w:val="22"/>
        </w:rPr>
        <w:t>Audits may be conducted by the Controller or an authorised third party with reasonable notice</w:t>
      </w:r>
    </w:p>
    <w:p>
      <w:pPr>
        <w:pStyle w:val="ListBullet"/>
        <w:ind w:left="360"/>
      </w:pPr>
      <w:r>
        <w:rPr>
          <w:sz w:val="22"/>
        </w:rPr>
        <w:t>The Processor may rely on independent third-party audit reports such as ISO 27001 or SOC 2 to demonstrate compliance, provided these are made available to the Controller</w:t>
      </w:r>
    </w:p>
    <w:p>
      <w:pPr>
        <w:spacing w:before="240" w:after="80"/>
      </w:pPr>
      <w:r>
        <w:rPr>
          <w:b/>
          <w:sz w:val="22"/>
        </w:rPr>
        <w:t>Return or Deletion</w:t>
      </w:r>
    </w:p>
    <w:p>
      <w:pPr>
        <w:pStyle w:val="ListBullet"/>
        <w:ind w:left="360"/>
      </w:pPr>
      <w:r>
        <w:rPr>
          <w:sz w:val="22"/>
        </w:rPr>
        <w:t>On termination of the services, the Processor must return or securely delete all personal data at the Controller's choice</w:t>
      </w:r>
    </w:p>
    <w:p>
      <w:pPr>
        <w:pStyle w:val="ListBullet"/>
        <w:ind w:left="360"/>
      </w:pPr>
      <w:r>
        <w:rPr>
          <w:sz w:val="22"/>
        </w:rPr>
        <w:t>Confirmation of return or deletion must be provided in writing</w:t>
      </w:r>
    </w:p>
    <w:p>
      <w:pPr>
        <w:pStyle w:val="ListBullet"/>
        <w:ind w:left="360"/>
      </w:pPr>
      <w:r>
        <w:rPr>
          <w:sz w:val="22"/>
        </w:rPr>
        <w:t>Personal data may be retained only to the extent required by law, with continued application of this DPA</w:t>
      </w:r>
    </w:p>
    <w:p>
      <w:pPr>
        <w:spacing w:before="240" w:after="80"/>
      </w:pPr>
      <w:r>
        <w:rPr>
          <w:b/>
          <w:sz w:val="22"/>
        </w:rPr>
        <w:t>Liability and Indemnity</w:t>
      </w:r>
    </w:p>
    <w:p>
      <w:pPr>
        <w:pStyle w:val="ListBullet"/>
        <w:ind w:left="360"/>
      </w:pPr>
      <w:r>
        <w:rPr>
          <w:sz w:val="22"/>
        </w:rPr>
        <w:t>Each party is liable for the consequences of its own breach of this DPA</w:t>
      </w:r>
    </w:p>
    <w:p>
      <w:pPr>
        <w:pStyle w:val="ListBullet"/>
        <w:ind w:left="360"/>
      </w:pPr>
      <w:r>
        <w:rPr>
          <w:sz w:val="22"/>
        </w:rPr>
        <w:t>Specific liability provisions are set out in the Services Agreement</w:t>
      </w:r>
    </w:p>
    <w:p>
      <w:pPr>
        <w:spacing w:before="240" w:after="80"/>
      </w:pPr>
      <w:r>
        <w:rPr>
          <w:b/>
          <w:sz w:val="24"/>
        </w:rPr>
        <w:t>3.5  Roles and Responsibilities</w:t>
      </w:r>
    </w:p>
    <w:p>
      <w:pPr>
        <w:spacing w:before="80"/>
      </w:pPr>
      <w:r>
        <w:rPr>
          <w:b/>
          <w:sz w:val="22"/>
        </w:rPr>
        <w:t xml:space="preserve">Controller: </w:t>
      </w:r>
      <w:r>
        <w:rPr>
          <w:sz w:val="22"/>
        </w:rPr>
        <w:t>The organisation determining the purposes and means of processing</w:t>
      </w:r>
    </w:p>
    <w:p>
      <w:pPr>
        <w:spacing w:before="80"/>
      </w:pPr>
      <w:r>
        <w:rPr>
          <w:b/>
          <w:sz w:val="22"/>
        </w:rPr>
        <w:t xml:space="preserve">Processor: </w:t>
      </w:r>
      <w:r>
        <w:rPr>
          <w:sz w:val="22"/>
        </w:rPr>
        <w:t>The supplier processing personal data on behalf of the Controller</w:t>
      </w:r>
    </w:p>
    <w:p>
      <w:pPr>
        <w:spacing w:before="80"/>
      </w:pPr>
      <w:r>
        <w:rPr>
          <w:b/>
          <w:sz w:val="22"/>
        </w:rPr>
        <w:t xml:space="preserve">Data Protection Officer: </w:t>
      </w:r>
      <w:r>
        <w:rPr>
          <w:sz w:val="22"/>
        </w:rPr>
        <w:t>Provides guidance on the application of this DPA</w:t>
      </w:r>
    </w:p>
    <w:p>
      <w:pPr>
        <w:spacing w:before="240" w:after="80"/>
      </w:pPr>
      <w:r>
        <w:rPr>
          <w:b/>
          <w:sz w:val="24"/>
        </w:rPr>
        <w:t>3.6  Related Documents</w:t>
      </w:r>
    </w:p>
    <w:p>
      <w:pPr>
        <w:pStyle w:val="ListBullet"/>
        <w:ind w:left="360"/>
      </w:pPr>
      <w:r>
        <w:rPr>
          <w:sz w:val="22"/>
        </w:rPr>
        <w:t>Data Protection Policy</w:t>
      </w:r>
    </w:p>
    <w:p>
      <w:pPr>
        <w:pStyle w:val="ListBullet"/>
        <w:ind w:left="360"/>
      </w:pPr>
      <w:r>
        <w:rPr>
          <w:sz w:val="22"/>
        </w:rPr>
        <w:t>Third-Party Supplier Security Policy</w:t>
      </w:r>
    </w:p>
    <w:p>
      <w:pPr>
        <w:pStyle w:val="ListBullet"/>
        <w:ind w:left="360"/>
      </w:pPr>
      <w:r>
        <w:rPr>
          <w:sz w:val="22"/>
        </w:rPr>
        <w:t>Supplier Security Requirements Addendum</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5.20 - Addressing information security within supplier agreements</w:t>
      </w:r>
    </w:p>
    <w:p>
      <w:pPr>
        <w:pStyle w:val="ListBullet"/>
        <w:ind w:left="360"/>
      </w:pPr>
      <w:r>
        <w:rPr>
          <w:sz w:val="22"/>
        </w:rPr>
        <w:t>5.34 - Privacy and protection of PII</w:t>
      </w:r>
    </w:p>
    <w:p>
      <w:pPr>
        <w:pStyle w:val="ListBullet"/>
        <w:ind w:left="360"/>
      </w:pPr>
      <w:r>
        <w:rPr>
          <w:sz w:val="22"/>
        </w:rPr>
        <w:t>5.19 - Information security in supplier relationships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