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CONFIDENTIALITY AGREEMENT (NDA) TEMPLATE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Confidentiality Agreement (NDA) Template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Confidentiality Agreement (NDA) Template</w:t>
      </w:r>
    </w:p>
    <w:p>
      <w:pPr>
        <w:spacing w:before="240" w:after="80"/>
      </w:pPr>
      <w:r>
        <w:rPr>
          <w:b/>
          <w:sz w:val="24"/>
        </w:rPr>
        <w:t>3.1  Purpose</w:t>
      </w:r>
    </w:p>
    <w:p>
      <w:pPr>
        <w:spacing w:before="40" w:after="120" w:line="280" w:lineRule="exact"/>
      </w:pPr>
      <w:r>
        <w:rPr>
          <w:sz w:val="22"/>
        </w:rPr>
        <w:t>This Confidentiality Agreement (NDA) protects confidential information disclosed by one or both parties in connection with discussions, evaluations, or business relationships. The terms are designed for use as either a one-way or mutual NDA and should be tailored to the engagement and reviewed by Legal before execution.</w:t>
      </w:r>
    </w:p>
    <w:p>
      <w:pPr>
        <w:spacing w:before="240" w:after="80"/>
      </w:pPr>
      <w:r>
        <w:rPr>
          <w:b/>
          <w:sz w:val="24"/>
        </w:rPr>
        <w:t>3.2  Scope</w:t>
      </w:r>
    </w:p>
    <w:p>
      <w:pPr>
        <w:spacing w:before="40" w:after="120" w:line="280" w:lineRule="exact"/>
      </w:pPr>
      <w:r>
        <w:rPr>
          <w:sz w:val="22"/>
        </w:rPr>
        <w:t>This template applies to NDAs entered into between the organisation and external parties, including potential customers, partners, suppliers, contractors, employees, and individuals participating in evaluations or interviews where confidential information may be disclosed.</w:t>
      </w:r>
    </w:p>
    <w:p>
      <w:pPr>
        <w:spacing w:before="240" w:after="80"/>
      </w:pPr>
      <w:r>
        <w:rPr>
          <w:b/>
          <w:sz w:val="24"/>
        </w:rPr>
        <w:t>3.3  Definitions</w:t>
      </w:r>
    </w:p>
    <w:p>
      <w:pPr>
        <w:spacing w:before="60" w:after="60"/>
      </w:pPr>
      <w:r>
        <w:rPr>
          <w:b/>
          <w:sz w:val="22"/>
        </w:rPr>
        <w:t xml:space="preserve">Confidential Information: </w:t>
      </w:r>
      <w:r>
        <w:rPr>
          <w:sz w:val="22"/>
        </w:rPr>
        <w:t>Any information disclosed by the Disclosing Party that is non-public, marked or identified as confidential, or that a reasonable person would understand to be confidential given its nature and the circumstances of disclosure</w:t>
      </w:r>
    </w:p>
    <w:p>
      <w:pPr>
        <w:spacing w:before="60" w:after="60"/>
      </w:pPr>
      <w:r>
        <w:rPr>
          <w:b/>
          <w:sz w:val="22"/>
        </w:rPr>
        <w:t xml:space="preserve">Disclosing Party: </w:t>
      </w:r>
      <w:r>
        <w:rPr>
          <w:sz w:val="22"/>
        </w:rPr>
        <w:t>The party disclosing Confidential Information</w:t>
      </w:r>
    </w:p>
    <w:p>
      <w:pPr>
        <w:spacing w:before="60" w:after="60"/>
      </w:pPr>
      <w:r>
        <w:rPr>
          <w:b/>
          <w:sz w:val="22"/>
        </w:rPr>
        <w:t xml:space="preserve">Receiving Party: </w:t>
      </w:r>
      <w:r>
        <w:rPr>
          <w:sz w:val="22"/>
        </w:rPr>
        <w:t>The party receiving Confidential Information</w:t>
      </w:r>
    </w:p>
    <w:p>
      <w:pPr>
        <w:spacing w:before="60" w:after="60"/>
      </w:pPr>
      <w:r>
        <w:rPr>
          <w:b/>
          <w:sz w:val="22"/>
        </w:rPr>
        <w:t xml:space="preserve">Representatives: </w:t>
      </w:r>
      <w:r>
        <w:rPr>
          <w:sz w:val="22"/>
        </w:rPr>
        <w:t>The Receiving Party's directors, officers, employees, agents, advisors, and contractors who have a need to know in connection with the Purpose</w:t>
      </w:r>
    </w:p>
    <w:p>
      <w:pPr>
        <w:spacing w:before="60" w:after="60"/>
      </w:pPr>
      <w:r>
        <w:rPr>
          <w:b/>
          <w:sz w:val="22"/>
        </w:rPr>
        <w:t xml:space="preserve">Purpose: </w:t>
      </w:r>
      <w:r>
        <w:rPr>
          <w:sz w:val="22"/>
        </w:rPr>
        <w:t>The specific purpose for which Confidential Information is disclosed, as described in the Schedule</w:t>
      </w:r>
    </w:p>
    <w:p>
      <w:pPr>
        <w:spacing w:before="240" w:after="80"/>
      </w:pPr>
      <w:r>
        <w:rPr>
          <w:b/>
          <w:sz w:val="24"/>
        </w:rPr>
        <w:t>3.4  Policy Requirements</w:t>
      </w:r>
    </w:p>
    <w:p>
      <w:pPr>
        <w:spacing w:before="240" w:after="80"/>
      </w:pPr>
      <w:r>
        <w:rPr>
          <w:b/>
          <w:sz w:val="22"/>
        </w:rPr>
        <w:t>Permitted Use</w:t>
      </w:r>
    </w:p>
    <w:p>
      <w:pPr>
        <w:pStyle w:val="ListBullet"/>
        <w:ind w:left="360"/>
      </w:pPr>
      <w:r>
        <w:rPr>
          <w:sz w:val="22"/>
        </w:rPr>
        <w:t>Confidential Information may be used only for the Purpose</w:t>
      </w:r>
    </w:p>
    <w:p>
      <w:pPr>
        <w:pStyle w:val="ListBullet"/>
        <w:ind w:left="360"/>
      </w:pPr>
      <w:r>
        <w:rPr>
          <w:sz w:val="22"/>
        </w:rPr>
        <w:t>Confidential Information must not be used for any commercial purpose unrelated to the Purpose</w:t>
      </w:r>
    </w:p>
    <w:p>
      <w:pPr>
        <w:pStyle w:val="ListBullet"/>
        <w:ind w:left="360"/>
      </w:pPr>
      <w:r>
        <w:rPr>
          <w:sz w:val="22"/>
        </w:rPr>
        <w:t>The Receiving Party must not use Confidential Information to develop competing products or services</w:t>
      </w:r>
    </w:p>
    <w:p>
      <w:pPr>
        <w:spacing w:before="240" w:after="80"/>
      </w:pPr>
      <w:r>
        <w:rPr>
          <w:b/>
          <w:sz w:val="22"/>
        </w:rPr>
        <w:t>Confidentiality Obligations</w:t>
      </w:r>
    </w:p>
    <w:p>
      <w:pPr>
        <w:pStyle w:val="ListBullet"/>
        <w:ind w:left="360"/>
      </w:pPr>
      <w:r>
        <w:rPr>
          <w:sz w:val="22"/>
        </w:rPr>
        <w:t>The Receiving Party must hold Confidential Information in strict confidence</w:t>
      </w:r>
    </w:p>
    <w:p>
      <w:pPr>
        <w:pStyle w:val="ListBullet"/>
        <w:ind w:left="360"/>
      </w:pPr>
      <w:r>
        <w:rPr>
          <w:sz w:val="22"/>
        </w:rPr>
        <w:t>The Receiving Party must protect Confidential Information using at least the same degree of care it uses for its own confidential information of similar nature, and in any event no less than reasonable care</w:t>
      </w:r>
    </w:p>
    <w:p>
      <w:pPr>
        <w:pStyle w:val="ListBullet"/>
        <w:ind w:left="360"/>
      </w:pPr>
      <w:r>
        <w:rPr>
          <w:sz w:val="22"/>
        </w:rPr>
        <w:t>The Receiving Party may disclose Confidential Information to its Representatives on a need-to-know basis, provided they are bound by obligations no less stringent than those in this Agreement</w:t>
      </w:r>
    </w:p>
    <w:p>
      <w:pPr>
        <w:pStyle w:val="ListBullet"/>
        <w:ind w:left="360"/>
      </w:pPr>
      <w:r>
        <w:rPr>
          <w:sz w:val="22"/>
        </w:rPr>
        <w:t>The Receiving Party is responsible for any breach of this Agreement by its Representatives</w:t>
      </w:r>
    </w:p>
    <w:p>
      <w:pPr>
        <w:spacing w:before="240" w:after="80"/>
      </w:pPr>
      <w:r>
        <w:rPr>
          <w:b/>
          <w:sz w:val="22"/>
        </w:rPr>
        <w:t>Exclusions</w:t>
      </w:r>
    </w:p>
    <w:p>
      <w:pPr>
        <w:pStyle w:val="ListBullet"/>
        <w:ind w:left="360"/>
      </w:pPr>
      <w:r>
        <w:rPr>
          <w:sz w:val="22"/>
        </w:rPr>
        <w:t>Information that is or becomes publicly available through no breach of this Agreement</w:t>
      </w:r>
    </w:p>
    <w:p>
      <w:pPr>
        <w:pStyle w:val="ListBullet"/>
        <w:ind w:left="360"/>
      </w:pPr>
      <w:r>
        <w:rPr>
          <w:sz w:val="22"/>
        </w:rPr>
        <w:t>Information already known to the Receiving Party at the time of disclosure</w:t>
      </w:r>
    </w:p>
    <w:p>
      <w:pPr>
        <w:pStyle w:val="ListBullet"/>
        <w:ind w:left="360"/>
      </w:pPr>
      <w:r>
        <w:rPr>
          <w:sz w:val="22"/>
        </w:rPr>
        <w:t>Information independently developed by the Receiving Party without use of or reference to Confidential Information</w:t>
      </w:r>
    </w:p>
    <w:p>
      <w:pPr>
        <w:pStyle w:val="ListBullet"/>
        <w:ind w:left="360"/>
      </w:pPr>
      <w:r>
        <w:rPr>
          <w:sz w:val="22"/>
        </w:rPr>
        <w:t>Information lawfully received from a third party without obligation of confidentiality</w:t>
      </w:r>
    </w:p>
    <w:p>
      <w:pPr>
        <w:spacing w:before="240" w:after="80"/>
      </w:pPr>
      <w:r>
        <w:rPr>
          <w:b/>
          <w:sz w:val="22"/>
        </w:rPr>
        <w:t>Compelled Disclosure</w:t>
      </w:r>
    </w:p>
    <w:p>
      <w:pPr>
        <w:pStyle w:val="ListBullet"/>
        <w:ind w:left="360"/>
      </w:pPr>
      <w:r>
        <w:rPr>
          <w:sz w:val="22"/>
        </w:rPr>
        <w:t>If required by law or court order to disclose Confidential Information, the Receiving Party must promptly notify the Disclosing Party (where lawful) so that protective measures may be sought</w:t>
      </w:r>
    </w:p>
    <w:p>
      <w:pPr>
        <w:pStyle w:val="ListBullet"/>
        <w:ind w:left="360"/>
      </w:pPr>
      <w:r>
        <w:rPr>
          <w:sz w:val="22"/>
        </w:rPr>
        <w:t>Disclosure must be limited to that strictly required</w:t>
      </w:r>
    </w:p>
    <w:p>
      <w:pPr>
        <w:spacing w:before="240" w:after="80"/>
      </w:pPr>
      <w:r>
        <w:rPr>
          <w:b/>
          <w:sz w:val="22"/>
        </w:rPr>
        <w:t>Term and Survival</w:t>
      </w:r>
    </w:p>
    <w:p>
      <w:pPr>
        <w:pStyle w:val="ListBullet"/>
        <w:ind w:left="360"/>
      </w:pPr>
      <w:r>
        <w:rPr>
          <w:sz w:val="22"/>
        </w:rPr>
        <w:t>This Agreement is effective from the Effective Date and continues for the term specified in the Schedule</w:t>
      </w:r>
    </w:p>
    <w:p>
      <w:pPr>
        <w:pStyle w:val="ListBullet"/>
        <w:ind w:left="360"/>
      </w:pPr>
      <w:r>
        <w:rPr>
          <w:sz w:val="22"/>
        </w:rPr>
        <w:t>Confidentiality obligations survive termination for a period of [3-5] years, or indefinitely for trade secrets</w:t>
      </w:r>
    </w:p>
    <w:p>
      <w:pPr>
        <w:spacing w:before="240" w:after="80"/>
      </w:pPr>
      <w:r>
        <w:rPr>
          <w:b/>
          <w:sz w:val="22"/>
        </w:rPr>
        <w:t>Return or Destruction</w:t>
      </w:r>
    </w:p>
    <w:p>
      <w:pPr>
        <w:pStyle w:val="ListBullet"/>
        <w:ind w:left="360"/>
      </w:pPr>
      <w:r>
        <w:rPr>
          <w:sz w:val="22"/>
        </w:rPr>
        <w:t>On request of the Disclosing Party or expiry of the Agreement, the Receiving Party must return or destroy all Confidential Information</w:t>
      </w:r>
    </w:p>
    <w:p>
      <w:pPr>
        <w:pStyle w:val="ListBullet"/>
        <w:ind w:left="360"/>
      </w:pPr>
      <w:r>
        <w:rPr>
          <w:sz w:val="22"/>
        </w:rPr>
        <w:t>Written confirmation of destruction must be provided on request</w:t>
      </w:r>
    </w:p>
    <w:p>
      <w:pPr>
        <w:pStyle w:val="ListBullet"/>
        <w:ind w:left="360"/>
      </w:pPr>
      <w:r>
        <w:rPr>
          <w:sz w:val="22"/>
        </w:rPr>
        <w:t>The Receiving Party may retain copies as required by law, regulatory requirement, or its legitimate document retention practices, subject to continued confidentiality obligations</w:t>
      </w:r>
    </w:p>
    <w:p>
      <w:pPr>
        <w:spacing w:before="240" w:after="80"/>
      </w:pPr>
      <w:r>
        <w:rPr>
          <w:b/>
          <w:sz w:val="22"/>
        </w:rPr>
        <w:t>No Licence</w:t>
      </w:r>
    </w:p>
    <w:p>
      <w:pPr>
        <w:pStyle w:val="ListBullet"/>
        <w:ind w:left="360"/>
      </w:pPr>
      <w:r>
        <w:rPr>
          <w:sz w:val="22"/>
        </w:rPr>
        <w:t>Nothing in this Agreement grants the Receiving Party any licence or rights in Confidential Information except as expressly set out</w:t>
      </w:r>
    </w:p>
    <w:p>
      <w:pPr>
        <w:pStyle w:val="ListBullet"/>
        <w:ind w:left="360"/>
      </w:pPr>
      <w:r>
        <w:rPr>
          <w:sz w:val="22"/>
        </w:rPr>
        <w:t>All intellectual property rights in Confidential Information remain with the Disclosing Party</w:t>
      </w:r>
    </w:p>
    <w:p>
      <w:pPr>
        <w:spacing w:before="240" w:after="80"/>
      </w:pPr>
      <w:r>
        <w:rPr>
          <w:b/>
          <w:sz w:val="22"/>
        </w:rPr>
        <w:t>No Warranty</w:t>
      </w:r>
    </w:p>
    <w:p>
      <w:pPr>
        <w:pStyle w:val="ListBullet"/>
        <w:ind w:left="360"/>
      </w:pPr>
      <w:r>
        <w:rPr>
          <w:sz w:val="22"/>
        </w:rPr>
        <w:t>Confidential Information is provided as-is, without warranty of any kind</w:t>
      </w:r>
    </w:p>
    <w:p>
      <w:pPr>
        <w:pStyle w:val="ListBullet"/>
        <w:ind w:left="360"/>
      </w:pPr>
      <w:r>
        <w:rPr>
          <w:sz w:val="22"/>
        </w:rPr>
        <w:t>Neither party is obligated to enter into any further agreement</w:t>
      </w:r>
    </w:p>
    <w:p>
      <w:pPr>
        <w:spacing w:before="240" w:after="80"/>
      </w:pPr>
      <w:r>
        <w:rPr>
          <w:b/>
          <w:sz w:val="22"/>
        </w:rPr>
        <w:t>Remedies</w:t>
      </w:r>
    </w:p>
    <w:p>
      <w:pPr>
        <w:pStyle w:val="ListBullet"/>
        <w:ind w:left="360"/>
      </w:pPr>
      <w:r>
        <w:rPr>
          <w:sz w:val="22"/>
        </w:rPr>
        <w:t>The Receiving Party acknowledges that breach of this Agreement may cause irreparable harm for which monetary damages may be inadequate</w:t>
      </w:r>
    </w:p>
    <w:p>
      <w:pPr>
        <w:pStyle w:val="ListBullet"/>
        <w:ind w:left="360"/>
      </w:pPr>
      <w:r>
        <w:rPr>
          <w:sz w:val="22"/>
        </w:rPr>
        <w:t>The Disclosing Party is entitled to seek injunctive relief and other equitable remedies in addition to any other available remedies</w:t>
      </w:r>
    </w:p>
    <w:p>
      <w:pPr>
        <w:spacing w:before="240" w:after="80"/>
      </w:pPr>
      <w:r>
        <w:rPr>
          <w:b/>
          <w:sz w:val="22"/>
        </w:rPr>
        <w:t>General</w:t>
      </w:r>
    </w:p>
    <w:p>
      <w:pPr>
        <w:pStyle w:val="ListBullet"/>
        <w:ind w:left="360"/>
      </w:pPr>
      <w:r>
        <w:rPr>
          <w:sz w:val="22"/>
        </w:rPr>
        <w:t>This Agreement is governed by the laws of [jurisdiction]</w:t>
      </w:r>
    </w:p>
    <w:p>
      <w:pPr>
        <w:pStyle w:val="ListBullet"/>
        <w:ind w:left="360"/>
      </w:pPr>
      <w:r>
        <w:rPr>
          <w:sz w:val="22"/>
        </w:rPr>
        <w:t>Disputes are subject to the exclusive jurisdiction of the courts of [jurisdiction]</w:t>
      </w:r>
    </w:p>
    <w:p>
      <w:pPr>
        <w:pStyle w:val="ListBullet"/>
        <w:ind w:left="360"/>
      </w:pPr>
      <w:r>
        <w:rPr>
          <w:sz w:val="22"/>
        </w:rPr>
        <w:t>This Agreement constitutes the entire agreement between the parties on confidentiality</w:t>
      </w:r>
    </w:p>
    <w:p>
      <w:pPr>
        <w:pStyle w:val="ListBullet"/>
        <w:ind w:left="360"/>
      </w:pPr>
      <w:r>
        <w:rPr>
          <w:sz w:val="22"/>
        </w:rPr>
        <w:t>Variations must be in writing and signed by authorised representatives of both parties</w:t>
      </w:r>
    </w:p>
    <w:p>
      <w:pPr>
        <w:spacing w:before="240" w:after="80"/>
      </w:pPr>
      <w:r>
        <w:rPr>
          <w:b/>
          <w:sz w:val="24"/>
        </w:rPr>
        <w:t>3.5  Roles and Responsibilities</w:t>
      </w:r>
    </w:p>
    <w:p>
      <w:pPr>
        <w:spacing w:before="80"/>
      </w:pPr>
      <w:r>
        <w:rPr>
          <w:b/>
          <w:sz w:val="22"/>
        </w:rPr>
        <w:t xml:space="preserve">Disclosing Party: </w:t>
      </w:r>
      <w:r>
        <w:rPr>
          <w:sz w:val="22"/>
        </w:rPr>
        <w:t>The party disclosing Confidential Information</w:t>
      </w:r>
    </w:p>
    <w:p>
      <w:pPr>
        <w:spacing w:before="80"/>
      </w:pPr>
      <w:r>
        <w:rPr>
          <w:b/>
          <w:sz w:val="22"/>
        </w:rPr>
        <w:t xml:space="preserve">Receiving Party: </w:t>
      </w:r>
      <w:r>
        <w:rPr>
          <w:sz w:val="22"/>
        </w:rPr>
        <w:t>The party receiving and obligated to protect Confidential Information</w:t>
      </w:r>
    </w:p>
    <w:p>
      <w:pPr>
        <w:spacing w:before="80"/>
      </w:pPr>
      <w:r>
        <w:rPr>
          <w:b/>
          <w:sz w:val="22"/>
        </w:rPr>
        <w:t xml:space="preserve">Legal: </w:t>
      </w:r>
      <w:r>
        <w:rPr>
          <w:sz w:val="22"/>
        </w:rPr>
        <w:t>Reviews and approves variations to the standard terms</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Employment Agreement Security Addendum</w:t>
      </w:r>
    </w:p>
    <w:p>
      <w:pPr>
        <w:pStyle w:val="ListBullet"/>
        <w:ind w:left="360"/>
      </w:pPr>
      <w:r>
        <w:rPr>
          <w:sz w:val="22"/>
        </w:rPr>
        <w:t>Data Protection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6.6 - Confidentiality or non-disclosure agreements</w:t>
      </w:r>
    </w:p>
    <w:p>
      <w:pPr>
        <w:pStyle w:val="ListBullet"/>
        <w:ind w:left="360"/>
      </w:pPr>
      <w:r>
        <w:rPr>
          <w:sz w:val="22"/>
        </w:rPr>
        <w:t>5.10 - Acceptable use of information and other associated assets</w:t>
      </w:r>
    </w:p>
    <w:p>
      <w:pPr>
        <w:pStyle w:val="ListBullet"/>
        <w:ind w:left="360"/>
      </w:pPr>
      <w:r>
        <w:rPr>
          <w:sz w:val="22"/>
        </w:rPr>
        <w:t>5.34 - Privacy and protection of PII</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